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ind w:firstLine="880" w:firstLineChars="200"/>
        <w:jc w:val="center"/>
        <w:rPr>
          <w:rFonts w:hint="eastAsia" w:ascii="CESI小标宋-GB13000" w:hAnsi="CESI小标宋-GB13000" w:eastAsia="CESI小标宋-GB13000" w:cs="CESI小标宋-GB13000"/>
          <w:b w:val="0"/>
          <w:bCs/>
          <w:color w:val="000000" w:themeColor="text1"/>
          <w:sz w:val="44"/>
          <w:szCs w:val="44"/>
          <w14:textFill>
            <w14:solidFill>
              <w14:schemeClr w14:val="tx1"/>
            </w14:solidFill>
          </w14:textFill>
        </w:rPr>
      </w:pPr>
      <w:bookmarkStart w:id="2" w:name="_GoBack"/>
      <w:bookmarkEnd w:id="2"/>
      <w:r>
        <w:rPr>
          <w:rFonts w:hint="eastAsia" w:ascii="CESI小标宋-GB13000" w:hAnsi="CESI小标宋-GB13000" w:eastAsia="CESI小标宋-GB13000" w:cs="CESI小标宋-GB13000"/>
          <w:b w:val="0"/>
          <w:bCs/>
          <w:color w:val="000000" w:themeColor="text1"/>
          <w:sz w:val="44"/>
          <w:szCs w:val="44"/>
          <w14:textFill>
            <w14:solidFill>
              <w14:schemeClr w14:val="tx1"/>
            </w14:solidFill>
          </w14:textFill>
        </w:rPr>
        <w:t>广州市品牌展会认定办法</w:t>
      </w:r>
    </w:p>
    <w:p>
      <w:pPr>
        <w:adjustRightInd w:val="0"/>
        <w:snapToGrid w:val="0"/>
        <w:spacing w:line="540" w:lineRule="exact"/>
        <w:ind w:firstLine="640" w:firstLineChars="200"/>
        <w:jc w:val="center"/>
        <w:rPr>
          <w:rFonts w:hint="eastAsia" w:ascii="楷体_GB2312" w:hAnsi="楷体_GB2312" w:eastAsia="楷体_GB2312" w:cs="楷体_GB2312"/>
          <w:b w:val="0"/>
          <w:bCs/>
          <w:color w:val="000000" w:themeColor="text1"/>
          <w:sz w:val="32"/>
          <w:szCs w:val="32"/>
          <w14:textFill>
            <w14:solidFill>
              <w14:schemeClr w14:val="tx1"/>
            </w14:solidFill>
          </w14:textFill>
        </w:rPr>
      </w:pPr>
      <w:r>
        <w:rPr>
          <w:rFonts w:hint="eastAsia" w:ascii="楷体_GB2312" w:hAnsi="楷体_GB2312" w:eastAsia="楷体_GB2312" w:cs="楷体_GB2312"/>
          <w:b w:val="0"/>
          <w:bCs/>
          <w:color w:val="000000" w:themeColor="text1"/>
          <w:sz w:val="32"/>
          <w:szCs w:val="32"/>
          <w14:textFill>
            <w14:solidFill>
              <w14:schemeClr w14:val="tx1"/>
            </w14:solidFill>
          </w14:textFill>
        </w:rPr>
        <w:t>（</w:t>
      </w:r>
      <w:r>
        <w:rPr>
          <w:rFonts w:hint="eastAsia" w:ascii="楷体_GB2312" w:hAnsi="楷体_GB2312" w:eastAsia="楷体_GB2312" w:cs="楷体_GB2312"/>
          <w:b w:val="0"/>
          <w:bCs/>
          <w:color w:val="000000" w:themeColor="text1"/>
          <w:sz w:val="32"/>
          <w:szCs w:val="32"/>
          <w:lang w:eastAsia="zh-CN"/>
          <w14:textFill>
            <w14:solidFill>
              <w14:schemeClr w14:val="tx1"/>
            </w14:solidFill>
          </w14:textFill>
        </w:rPr>
        <w:t>征求意见</w:t>
      </w:r>
      <w:r>
        <w:rPr>
          <w:rFonts w:hint="eastAsia" w:ascii="楷体_GB2312" w:hAnsi="楷体_GB2312" w:eastAsia="楷体_GB2312" w:cs="楷体_GB2312"/>
          <w:b w:val="0"/>
          <w:bCs/>
          <w:color w:val="000000" w:themeColor="text1"/>
          <w:sz w:val="32"/>
          <w:szCs w:val="32"/>
          <w14:textFill>
            <w14:solidFill>
              <w14:schemeClr w14:val="tx1"/>
            </w14:solidFill>
          </w14:textFill>
        </w:rPr>
        <w:t>稿）</w:t>
      </w:r>
    </w:p>
    <w:p>
      <w:pPr>
        <w:adjustRightInd w:val="0"/>
        <w:snapToGrid w:val="0"/>
        <w:spacing w:line="540" w:lineRule="exact"/>
        <w:ind w:firstLine="723" w:firstLineChars="200"/>
        <w:jc w:val="center"/>
        <w:rPr>
          <w:rFonts w:ascii="黑体" w:hAnsi="黑体" w:eastAsia="黑体" w:cs="黑体"/>
          <w:b/>
          <w:color w:val="000000" w:themeColor="text1"/>
          <w:sz w:val="36"/>
          <w:szCs w:val="36"/>
          <w14:textFill>
            <w14:solidFill>
              <w14:schemeClr w14:val="tx1"/>
            </w14:solidFill>
          </w14:textFill>
        </w:rPr>
      </w:pPr>
    </w:p>
    <w:p>
      <w:pPr>
        <w:adjustRightInd w:val="0"/>
        <w:snapToGrid w:val="0"/>
        <w:spacing w:line="540" w:lineRule="exact"/>
        <w:ind w:firstLine="640" w:firstLineChars="200"/>
        <w:jc w:val="center"/>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第一章 总 则</w:t>
      </w:r>
    </w:p>
    <w:p>
      <w:pPr>
        <w:adjustRightInd w:val="0"/>
        <w:snapToGrid w:val="0"/>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第一条 为落实</w:t>
      </w:r>
      <w:r>
        <w:rPr>
          <w:rFonts w:hint="eastAsia" w:ascii="仿宋" w:hAnsi="仿宋" w:eastAsia="仿宋" w:cs="仿宋"/>
          <w:color w:val="auto"/>
          <w:kern w:val="2"/>
          <w:sz w:val="32"/>
          <w:szCs w:val="32"/>
        </w:rPr>
        <w:t>《关于进一步促进展览业改革发展的若干意见》（国发〔2015〕15号）</w:t>
      </w:r>
      <w:bookmarkStart w:id="0" w:name="_Toc527233656"/>
      <w:bookmarkStart w:id="1" w:name="_Toc527328041"/>
      <w:r>
        <w:rPr>
          <w:rFonts w:hint="eastAsia" w:ascii="仿宋" w:hAnsi="仿宋" w:eastAsia="仿宋" w:cs="仿宋"/>
          <w:color w:val="auto"/>
          <w:kern w:val="2"/>
          <w:sz w:val="32"/>
          <w:szCs w:val="32"/>
        </w:rPr>
        <w:t>《广东省进一步促进展览业改革发展实施方案</w:t>
      </w:r>
      <w:bookmarkEnd w:id="0"/>
      <w:bookmarkEnd w:id="1"/>
      <w:r>
        <w:rPr>
          <w:rFonts w:hint="eastAsia" w:ascii="仿宋" w:hAnsi="仿宋" w:eastAsia="仿宋" w:cs="仿宋"/>
          <w:color w:val="auto"/>
          <w:kern w:val="2"/>
          <w:sz w:val="32"/>
          <w:szCs w:val="32"/>
        </w:rPr>
        <w:t>》（粤府〔2016〕25号）关于展会品牌化建设的要求，规范品牌展会评定工作，引导广州会展业品牌化、专业化、国际化发展，依据《广州市建设国际会展之都三年行动</w:t>
      </w:r>
      <w:r>
        <w:rPr>
          <w:rFonts w:hint="eastAsia" w:ascii="仿宋" w:hAnsi="仿宋" w:eastAsia="仿宋" w:cs="仿宋"/>
          <w:color w:val="auto"/>
          <w:kern w:val="2"/>
          <w:sz w:val="32"/>
          <w:szCs w:val="32"/>
          <w:lang w:eastAsia="zh-CN"/>
        </w:rPr>
        <w:t>计</w:t>
      </w:r>
      <w:r>
        <w:rPr>
          <w:rFonts w:hint="eastAsia" w:ascii="仿宋" w:hAnsi="仿宋" w:eastAsia="仿宋" w:cs="仿宋"/>
          <w:color w:val="auto"/>
          <w:kern w:val="2"/>
          <w:sz w:val="32"/>
          <w:szCs w:val="32"/>
        </w:rPr>
        <w:t>划（2020-2022年）》《广州市</w:t>
      </w:r>
      <w:r>
        <w:rPr>
          <w:rFonts w:hint="eastAsia" w:ascii="仿宋" w:hAnsi="仿宋" w:eastAsia="仿宋" w:cs="仿宋"/>
          <w:sz w:val="32"/>
          <w:szCs w:val="32"/>
        </w:rPr>
        <w:t>关于促进会展业高质量发展的若干措施（暂行）</w:t>
      </w:r>
      <w:r>
        <w:rPr>
          <w:rFonts w:hint="eastAsia" w:ascii="仿宋" w:hAnsi="仿宋" w:eastAsia="仿宋" w:cs="仿宋"/>
          <w:color w:val="auto"/>
          <w:kern w:val="2"/>
          <w:sz w:val="32"/>
          <w:szCs w:val="32"/>
        </w:rPr>
        <w:t>》等</w:t>
      </w:r>
      <w:r>
        <w:rPr>
          <w:rFonts w:hint="eastAsia" w:ascii="仿宋" w:hAnsi="仿宋" w:eastAsia="仿宋" w:cs="仿宋"/>
          <w:sz w:val="32"/>
          <w:szCs w:val="32"/>
        </w:rPr>
        <w:t>制定本办法。</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第二条 本办法所称的品牌展会是指在我市专业展馆定期举办，具有相当规模与较强的社会（或行业）影响力，对行业发展起到引领和示范作用的展览会，包括综合类展览会、经济贸易类展览会、专业性展览会和博览会（不包括展销会）。</w:t>
      </w:r>
    </w:p>
    <w:p>
      <w:pPr>
        <w:adjustRightInd w:val="0"/>
        <w:snapToGrid w:val="0"/>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第三条  广州市品牌展会分重点品牌展会、优质品牌展会和成长型品牌展会，</w:t>
      </w:r>
      <w:r>
        <w:rPr>
          <w:rFonts w:hint="eastAsia" w:ascii="仿宋" w:hAnsi="仿宋" w:eastAsia="仿宋" w:cs="仿宋"/>
          <w:color w:val="000000" w:themeColor="text1"/>
          <w:sz w:val="32"/>
          <w:szCs w:val="32"/>
          <w14:textFill>
            <w14:solidFill>
              <w14:schemeClr w14:val="tx1"/>
            </w14:solidFill>
          </w14:textFill>
        </w:rPr>
        <w:t>评定数量分别控制在当年全市主要展览项目总数的4%、6%、8%以内。</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第四条 广州品牌展会的认定，按照公开、公平、公正、独立的原则，采取企业自主申报、第三方评审、社会公示、政府认定的方式进行。广州市商务局负责广州市品牌展会的组织与认定工作。</w:t>
      </w:r>
    </w:p>
    <w:p>
      <w:pPr>
        <w:adjustRightInd w:val="0"/>
        <w:snapToGrid w:val="0"/>
        <w:spacing w:line="540" w:lineRule="exact"/>
        <w:ind w:firstLine="640" w:firstLineChars="200"/>
        <w:jc w:val="center"/>
        <w:rPr>
          <w:rFonts w:ascii="黑体" w:hAnsi="黑体" w:eastAsia="黑体" w:cs="黑体"/>
          <w:bCs/>
          <w:color w:val="000000" w:themeColor="text1"/>
          <w:sz w:val="32"/>
          <w:szCs w:val="32"/>
          <w14:textFill>
            <w14:solidFill>
              <w14:schemeClr w14:val="tx1"/>
            </w14:solidFill>
          </w14:textFill>
        </w:rPr>
      </w:pPr>
    </w:p>
    <w:p>
      <w:pPr>
        <w:adjustRightInd w:val="0"/>
        <w:snapToGrid w:val="0"/>
        <w:spacing w:line="540" w:lineRule="exact"/>
        <w:ind w:firstLine="640" w:firstLineChars="200"/>
        <w:jc w:val="center"/>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第二章 申请条件</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第五条 申请品牌展会应符合以下基本条件：</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（一）申报单位为依法注册、具有独立法人资格、在广州连续举办三年展览会的企事业单位、行业协会及其他相关单位；</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（二）申报单位具有健全的财务管理机构、严格的财务管理制度和合格的财务管理人员，近三年无偷税漏税行为、无不良诚信记录；</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（三）申报单位应为展会主办或承办单位。有多个主办或承办单位的，应由各主办或承办单位协商一致委托其中一家单位提出申请，并出具</w:t>
      </w:r>
      <w:r>
        <w:rPr>
          <w:rFonts w:hint="eastAsia" w:ascii="仿宋" w:hAnsi="仿宋" w:eastAsia="仿宋" w:cs="仿宋"/>
          <w:sz w:val="32"/>
          <w:szCs w:val="32"/>
          <w:lang w:eastAsia="zh-CN"/>
        </w:rPr>
        <w:t>多个主办或承办单位联名的</w:t>
      </w:r>
      <w:r>
        <w:rPr>
          <w:rFonts w:hint="eastAsia" w:ascii="仿宋" w:hAnsi="仿宋" w:eastAsia="仿宋" w:cs="仿宋"/>
          <w:sz w:val="32"/>
          <w:szCs w:val="32"/>
        </w:rPr>
        <w:t xml:space="preserve">委托协议； </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（四）申报项目举办期间未出现因安全事故、知识产权纠纷等不良事件而被行政机关处罚或司法机关判决承担法律责任的情况；</w:t>
      </w:r>
    </w:p>
    <w:p>
      <w:pPr>
        <w:adjustRightInd w:val="0"/>
        <w:snapToGrid w:val="0"/>
        <w:spacing w:line="540" w:lineRule="exact"/>
        <w:ind w:firstLine="640" w:firstLineChars="200"/>
        <w:rPr>
          <w:rFonts w:ascii="仿宋" w:hAnsi="仿宋" w:eastAsia="仿宋" w:cs="仿宋"/>
          <w:color w:val="2E75B6" w:themeColor="accent1" w:themeShade="BF"/>
          <w:sz w:val="32"/>
          <w:szCs w:val="32"/>
        </w:rPr>
      </w:pPr>
      <w:r>
        <w:rPr>
          <w:rFonts w:hint="eastAsia" w:ascii="仿宋" w:hAnsi="仿宋" w:eastAsia="仿宋" w:cs="仿宋"/>
          <w:sz w:val="32"/>
          <w:szCs w:val="32"/>
        </w:rPr>
        <w:t>（五）申报项目需连续定期在广州举办三年，申报年度至少已举办1届或年度</w:t>
      </w:r>
      <w:r>
        <w:rPr>
          <w:rFonts w:hint="eastAsia" w:ascii="仿宋" w:hAnsi="仿宋" w:eastAsia="仿宋" w:cs="仿宋"/>
          <w:sz w:val="32"/>
          <w:szCs w:val="32"/>
          <w:lang w:eastAsia="zh-CN"/>
        </w:rPr>
        <w:t>内已确定</w:t>
      </w:r>
      <w:r>
        <w:rPr>
          <w:rFonts w:hint="eastAsia" w:ascii="仿宋" w:hAnsi="仿宋" w:eastAsia="仿宋" w:cs="仿宋"/>
          <w:sz w:val="32"/>
          <w:szCs w:val="32"/>
        </w:rPr>
        <w:t>将至少举办1届，并承诺下一年起在广州继续举办；</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（六）申报项目展览面积达10000平方米以上、参展企业在200家以上；</w:t>
      </w:r>
    </w:p>
    <w:p>
      <w:pPr>
        <w:adjustRightInd w:val="0"/>
        <w:snapToGrid w:val="0"/>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（七）同一主（承）办单位在一年内举办多个主题相同或相似的展会，只能以其中一个展会提出申请。</w:t>
      </w:r>
    </w:p>
    <w:p>
      <w:pPr>
        <w:adjustRightInd w:val="0"/>
        <w:snapToGrid w:val="0"/>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（八）申报单位同意接受市商务局委托的第三方机构开展的数据核查工作。</w:t>
      </w:r>
    </w:p>
    <w:p>
      <w:pPr>
        <w:adjustRightInd w:val="0"/>
        <w:snapToGrid w:val="0"/>
        <w:spacing w:line="540" w:lineRule="exact"/>
        <w:ind w:firstLine="640" w:firstLineChars="200"/>
        <w:jc w:val="center"/>
        <w:rPr>
          <w:rFonts w:ascii="黑体" w:hAnsi="黑体" w:eastAsia="黑体" w:cs="黑体"/>
          <w:bCs/>
          <w:color w:val="000000" w:themeColor="text1"/>
          <w:sz w:val="32"/>
          <w:szCs w:val="32"/>
          <w14:textFill>
            <w14:solidFill>
              <w14:schemeClr w14:val="tx1"/>
            </w14:solidFill>
          </w14:textFill>
        </w:rPr>
      </w:pPr>
    </w:p>
    <w:p>
      <w:pPr>
        <w:adjustRightInd w:val="0"/>
        <w:snapToGrid w:val="0"/>
        <w:spacing w:line="540" w:lineRule="exact"/>
        <w:ind w:firstLine="640" w:firstLineChars="200"/>
        <w:jc w:val="center"/>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第三章 认定程序</w:t>
      </w:r>
    </w:p>
    <w:p>
      <w:pPr>
        <w:adjustRightInd w:val="0"/>
        <w:snapToGrid w:val="0"/>
        <w:spacing w:line="540" w:lineRule="exact"/>
        <w:ind w:firstLine="640" w:firstLineChars="200"/>
        <w:rPr>
          <w:rFonts w:ascii="仿宋" w:hAnsi="仿宋" w:eastAsia="仿宋" w:cs="仿宋"/>
          <w:sz w:val="32"/>
          <w:szCs w:val="32"/>
        </w:rPr>
      </w:pPr>
    </w:p>
    <w:p>
      <w:pPr>
        <w:adjustRightInd w:val="0"/>
        <w:snapToGrid w:val="0"/>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广州市商务局负责</w:t>
      </w:r>
      <w:r>
        <w:rPr>
          <w:rFonts w:hint="eastAsia" w:ascii="仿宋" w:hAnsi="仿宋" w:eastAsia="仿宋" w:cs="仿宋"/>
          <w:sz w:val="32"/>
          <w:szCs w:val="32"/>
          <w:lang w:eastAsia="zh-CN"/>
        </w:rPr>
        <w:t>制定并</w:t>
      </w:r>
      <w:r>
        <w:rPr>
          <w:rFonts w:hint="eastAsia" w:ascii="仿宋" w:hAnsi="仿宋" w:eastAsia="仿宋" w:cs="仿宋"/>
          <w:sz w:val="32"/>
          <w:szCs w:val="32"/>
        </w:rPr>
        <w:t>发布广州市品牌展会认定申报指南，按照企业申报、专家评审、社会公示、认定发布的程序进行。</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第六条 认定程序：</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（一）申报。申报单位提交相关申报材料并对材料真实性、完整性负责。具体申报材料以广州市商务局发布的相关通知、公告为准。</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）专家评审。市商务局组织第三方专业机构对申报材料进行评审，按照广州市品牌展会认定指标体系（见附件）评估分值的降序排列，拟定广州市品牌展会名单。</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）社会公示。市商务局将年度广州市品牌展会名单向社会公示</w:t>
      </w:r>
      <w:r>
        <w:rPr>
          <w:rFonts w:hint="eastAsia" w:ascii="仿宋" w:hAnsi="仿宋" w:eastAsia="仿宋" w:cs="仿宋"/>
          <w:sz w:val="32"/>
          <w:szCs w:val="32"/>
          <w:lang w:val="en-US" w:eastAsia="zh-CN"/>
        </w:rPr>
        <w:t>7</w:t>
      </w:r>
      <w:r>
        <w:rPr>
          <w:rFonts w:hint="eastAsia" w:ascii="仿宋" w:hAnsi="仿宋" w:eastAsia="仿宋" w:cs="仿宋"/>
          <w:sz w:val="32"/>
          <w:szCs w:val="32"/>
        </w:rPr>
        <w:t>个自然日。公示期间，任何单位或个人对公示名单有异议的，在公示规定时间内向市商务局提出，市商务局应对公示有异议的项目重新审核，异议成立的取消品牌展会资格。</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）认定发布。公示期满无异议或异议不成立的，由市商务局认定为广州市品牌展会，颁发认定证书。</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七</w:t>
      </w:r>
      <w:r>
        <w:rPr>
          <w:rFonts w:hint="eastAsia" w:ascii="仿宋" w:hAnsi="仿宋" w:eastAsia="仿宋" w:cs="仿宋"/>
          <w:sz w:val="32"/>
          <w:szCs w:val="32"/>
        </w:rPr>
        <w:t>条 每期拟认定的广州市品牌展会数量以实际达标的项目数量为准，根据当期广州市会展业的发展情况可适当调整。</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八</w:t>
      </w:r>
      <w:r>
        <w:rPr>
          <w:rFonts w:hint="eastAsia" w:ascii="仿宋" w:hAnsi="仿宋" w:eastAsia="仿宋" w:cs="仿宋"/>
          <w:sz w:val="32"/>
          <w:szCs w:val="32"/>
        </w:rPr>
        <w:t>条 市商务局委托具备资质的第三方机构开展展会数据核查工作，相关核查结果将作为品牌展会认定评审的参考依据。</w:t>
      </w:r>
    </w:p>
    <w:p>
      <w:pPr>
        <w:adjustRightInd w:val="0"/>
        <w:snapToGrid w:val="0"/>
        <w:spacing w:line="540" w:lineRule="exact"/>
        <w:ind w:firstLine="640" w:firstLineChars="200"/>
        <w:rPr>
          <w:rFonts w:ascii="仿宋" w:hAnsi="仿宋" w:eastAsia="仿宋" w:cs="仿宋"/>
          <w:sz w:val="32"/>
          <w:szCs w:val="32"/>
        </w:rPr>
      </w:pPr>
    </w:p>
    <w:p>
      <w:pPr>
        <w:adjustRightInd w:val="0"/>
        <w:snapToGrid w:val="0"/>
        <w:spacing w:line="540" w:lineRule="exact"/>
        <w:ind w:firstLine="640" w:firstLineChars="200"/>
        <w:jc w:val="center"/>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第四章 权利和义务</w:t>
      </w:r>
    </w:p>
    <w:p>
      <w:pPr>
        <w:adjustRightInd w:val="0"/>
        <w:snapToGrid w:val="0"/>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九</w:t>
      </w:r>
      <w:r>
        <w:rPr>
          <w:rFonts w:hint="eastAsia" w:ascii="仿宋" w:hAnsi="仿宋" w:eastAsia="仿宋" w:cs="仿宋"/>
          <w:sz w:val="32"/>
          <w:szCs w:val="32"/>
        </w:rPr>
        <w:t>条 经认定的品牌展会依据有关规定享受政策、资金支持。由政府或政府部门主办、政府财政资金投入举办的展会，可依程序认定为品牌展会，但不再额外享受资金支持。</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第十条 经认定的品牌展会可在政府宣传渠道如宣传推介会、报纸刊物、广州市会展业公共服务平台等进行重点宣传和推介。</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条 品牌展会主（承）办单位在开展对外宣传推广活动时，有效期内允许冠名“广州市品牌展会”称号。</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w:t>
      </w: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条 经认定的品牌展会应接受有关部门的指导、监督和检查，提供展会情况的有关资料。品牌展会有义务加强本展会的品牌建设和内部管理，维护好本展会品牌形象。</w:t>
      </w:r>
    </w:p>
    <w:p>
      <w:pPr>
        <w:adjustRightInd w:val="0"/>
        <w:snapToGrid w:val="0"/>
        <w:spacing w:line="540" w:lineRule="exact"/>
        <w:ind w:firstLine="640" w:firstLineChars="200"/>
        <w:jc w:val="center"/>
        <w:rPr>
          <w:rFonts w:ascii="黑体" w:hAnsi="黑体" w:eastAsia="黑体" w:cs="黑体"/>
          <w:bCs/>
          <w:color w:val="000000" w:themeColor="text1"/>
          <w:sz w:val="32"/>
          <w:szCs w:val="32"/>
          <w14:textFill>
            <w14:solidFill>
              <w14:schemeClr w14:val="tx1"/>
            </w14:solidFill>
          </w14:textFill>
        </w:rPr>
      </w:pPr>
    </w:p>
    <w:p>
      <w:pPr>
        <w:adjustRightInd w:val="0"/>
        <w:snapToGrid w:val="0"/>
        <w:spacing w:line="540" w:lineRule="exact"/>
        <w:ind w:firstLine="640" w:firstLineChars="200"/>
        <w:jc w:val="center"/>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第五章 管理与监督</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第</w:t>
      </w:r>
      <w:r>
        <w:rPr>
          <w:rFonts w:hint="eastAsia" w:ascii="仿宋" w:hAnsi="仿宋" w:eastAsia="仿宋" w:cs="仿宋"/>
          <w:sz w:val="32"/>
          <w:szCs w:val="32"/>
          <w:lang w:eastAsia="zh-CN"/>
        </w:rPr>
        <w:t>十三</w:t>
      </w:r>
      <w:r>
        <w:rPr>
          <w:rFonts w:hint="eastAsia" w:ascii="仿宋" w:hAnsi="仿宋" w:eastAsia="仿宋" w:cs="仿宋"/>
          <w:sz w:val="32"/>
          <w:szCs w:val="32"/>
        </w:rPr>
        <w:t>条 广州市品牌展会每三年认定一次，认定后每年进行抽检，三年重评，品牌资质证书有效期为三年，超过有效期的展会项目应自觉申请重评，逾期失效。</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第十四条 市商务局建立品牌展会动态管理和退出机制。存在下列情况之一的，取消其品牌展会资格并收回证书，停止享受相关优惠扶持政策，并在广州商务局网站和广州市会展业公共服务平台上进行取消品牌展会资格公告。</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（一）有效期内出现涉税或其他违法行为受到行政机关处罚或司法机关判决承担法律责任的情况；</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（二）申报单位以虚假数据材料申请品牌展会认定</w:t>
      </w:r>
      <w:r>
        <w:rPr>
          <w:rFonts w:hint="eastAsia" w:ascii="仿宋" w:hAnsi="仿宋" w:eastAsia="仿宋" w:cs="仿宋"/>
          <w:color w:val="000000" w:themeColor="text1"/>
          <w:sz w:val="32"/>
          <w:szCs w:val="32"/>
          <w:lang w:eastAsia="zh-CN"/>
          <w14:textFill>
            <w14:solidFill>
              <w14:schemeClr w14:val="tx1"/>
            </w14:solidFill>
          </w14:textFill>
        </w:rPr>
        <w:t>或被列入失信名单的</w:t>
      </w:r>
      <w:r>
        <w:rPr>
          <w:rFonts w:hint="eastAsia" w:ascii="仿宋" w:hAnsi="仿宋" w:eastAsia="仿宋" w:cs="仿宋"/>
          <w:color w:val="000000" w:themeColor="text1"/>
          <w:sz w:val="32"/>
          <w:szCs w:val="32"/>
          <w14:textFill>
            <w14:solidFill>
              <w14:schemeClr w14:val="tx1"/>
            </w14:solidFill>
          </w14:textFill>
        </w:rPr>
        <w:t>；</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（三）展会项目</w:t>
      </w:r>
      <w:r>
        <w:rPr>
          <w:rFonts w:hint="eastAsia" w:ascii="仿宋" w:hAnsi="仿宋" w:eastAsia="仿宋" w:cs="仿宋"/>
          <w:sz w:val="32"/>
          <w:szCs w:val="32"/>
        </w:rPr>
        <w:t xml:space="preserve">被裁(认)定为侵犯他人知识产权、发生群体性事件、安全责任事故的; </w:t>
      </w:r>
    </w:p>
    <w:p>
      <w:pPr>
        <w:adjustRightInd w:val="0"/>
        <w:snapToGrid w:val="0"/>
        <w:spacing w:line="540" w:lineRule="exact"/>
        <w:ind w:firstLine="420" w:firstLineChars="200"/>
        <w:rPr>
          <w:rFonts w:ascii="仿宋" w:hAnsi="仿宋" w:eastAsia="仿宋" w:cs="仿宋"/>
          <w:color w:val="000000" w:themeColor="text1"/>
          <w:sz w:val="32"/>
          <w:szCs w:val="32"/>
          <w14:textFill>
            <w14:solidFill>
              <w14:schemeClr w14:val="tx1"/>
            </w14:solidFill>
          </w14:textFill>
        </w:rPr>
      </w:pPr>
      <w:r>
        <w:rPr>
          <w:rFonts w:hint="eastAsia" w:ascii="宋体" w:hAnsi="宋体" w:cs="宋体"/>
          <w:color w:val="004E77"/>
          <w:kern w:val="0"/>
          <w:szCs w:val="21"/>
        </w:rPr>
        <w:t>　</w:t>
      </w:r>
    </w:p>
    <w:p>
      <w:pPr>
        <w:adjustRightInd w:val="0"/>
        <w:snapToGrid w:val="0"/>
        <w:spacing w:line="540" w:lineRule="exact"/>
        <w:ind w:firstLine="640" w:firstLineChars="200"/>
        <w:rPr>
          <w:rFonts w:ascii="黑体" w:hAnsi="黑体" w:eastAsia="黑体" w:cs="黑体"/>
          <w:bCs/>
          <w:color w:val="000000" w:themeColor="text1"/>
          <w:sz w:val="32"/>
          <w:szCs w:val="32"/>
          <w14:textFill>
            <w14:solidFill>
              <w14:schemeClr w14:val="tx1"/>
            </w14:solidFill>
          </w14:textFill>
        </w:rPr>
      </w:pPr>
    </w:p>
    <w:p>
      <w:pPr>
        <w:adjustRightInd w:val="0"/>
        <w:snapToGrid w:val="0"/>
        <w:spacing w:line="540" w:lineRule="exact"/>
        <w:ind w:firstLine="640" w:firstLineChars="200"/>
        <w:jc w:val="center"/>
        <w:rPr>
          <w:rFonts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第六章 附 则</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第十</w:t>
      </w:r>
      <w:r>
        <w:rPr>
          <w:rFonts w:hint="eastAsia" w:ascii="仿宋" w:hAnsi="仿宋" w:eastAsia="仿宋" w:cs="仿宋"/>
          <w:color w:val="000000" w:themeColor="text1"/>
          <w:sz w:val="32"/>
          <w:szCs w:val="32"/>
          <w:lang w:eastAsia="zh-CN"/>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条 本办法由广州市商务局负责解释。</w:t>
      </w:r>
    </w:p>
    <w:p>
      <w:pPr>
        <w:adjustRightInd w:val="0"/>
        <w:snapToGrid w:val="0"/>
        <w:spacing w:line="540" w:lineRule="exact"/>
        <w:ind w:firstLine="640" w:firstLineChars="200"/>
        <w:rPr>
          <w:rFonts w:hint="eastAsia" w:ascii="仿宋_GB2312" w:hAnsi="仿宋_GB2312" w:eastAsia="仿宋_GB2312" w:cs="仿宋_GB2312"/>
          <w:sz w:val="32"/>
          <w:szCs w:val="32"/>
        </w:rPr>
      </w:pPr>
      <w:r>
        <w:rPr>
          <w:rFonts w:hint="eastAsia" w:ascii="仿宋" w:hAnsi="仿宋" w:eastAsia="仿宋" w:cs="仿宋"/>
          <w:color w:val="000000" w:themeColor="text1"/>
          <w:sz w:val="32"/>
          <w:szCs w:val="32"/>
          <w14:textFill>
            <w14:solidFill>
              <w14:schemeClr w14:val="tx1"/>
            </w14:solidFill>
          </w14:textFill>
        </w:rPr>
        <w:t>第十</w:t>
      </w:r>
      <w:r>
        <w:rPr>
          <w:rFonts w:hint="eastAsia" w:ascii="仿宋" w:hAnsi="仿宋" w:eastAsia="仿宋" w:cs="仿宋"/>
          <w:color w:val="000000" w:themeColor="text1"/>
          <w:sz w:val="32"/>
          <w:szCs w:val="32"/>
          <w:lang w:eastAsia="zh-CN"/>
          <w14:textFill>
            <w14:solidFill>
              <w14:schemeClr w14:val="tx1"/>
            </w14:solidFill>
          </w14:textFill>
        </w:rPr>
        <w:t>六</w:t>
      </w:r>
      <w:r>
        <w:rPr>
          <w:rFonts w:hint="eastAsia" w:ascii="仿宋" w:hAnsi="仿宋" w:eastAsia="仿宋" w:cs="仿宋"/>
          <w:color w:val="000000" w:themeColor="text1"/>
          <w:sz w:val="32"/>
          <w:szCs w:val="32"/>
          <w14:textFill>
            <w14:solidFill>
              <w14:schemeClr w14:val="tx1"/>
            </w14:solidFill>
          </w14:textFill>
        </w:rPr>
        <w:t>条 本办法自印发之日起施行，有效期3年，</w:t>
      </w:r>
      <w:r>
        <w:rPr>
          <w:rFonts w:hint="eastAsia" w:ascii="仿宋_GB2312" w:hAnsi="仿宋_GB2312" w:eastAsia="仿宋_GB2312" w:cs="仿宋_GB2312"/>
          <w:sz w:val="32"/>
          <w:szCs w:val="32"/>
        </w:rPr>
        <w:t>期满后根据实施情况依法评估修订。</w:t>
      </w:r>
    </w:p>
    <w:p>
      <w:pPr>
        <w:adjustRightInd w:val="0"/>
        <w:snapToGrid w:val="0"/>
        <w:spacing w:line="540" w:lineRule="exact"/>
        <w:ind w:firstLine="640" w:firstLineChars="200"/>
        <w:rPr>
          <w:rFonts w:hint="eastAsia" w:ascii="仿宋_GB2312" w:hAnsi="仿宋_GB2312" w:eastAsia="仿宋_GB2312" w:cs="仿宋_GB2312"/>
          <w:sz w:val="32"/>
          <w:szCs w:val="32"/>
        </w:rPr>
      </w:pP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附件：广州市品牌展会综合评价指标体系</w:t>
      </w: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left"/>
        <w:rPr>
          <w:rFonts w:ascii="仿宋_GB2312" w:eastAsia="仿宋_GB2312" w:hAnsiTheme="majorEastAsia"/>
          <w:b/>
          <w:sz w:val="32"/>
          <w:szCs w:val="32"/>
        </w:rPr>
      </w:pPr>
      <w:r>
        <w:rPr>
          <w:rFonts w:hint="eastAsia" w:ascii="仿宋_GB2312" w:hAnsi="黑体" w:eastAsia="仿宋_GB2312" w:cs="黑体"/>
          <w:bCs/>
          <w:sz w:val="32"/>
          <w:szCs w:val="32"/>
        </w:rPr>
        <w:t xml:space="preserve">附件1   </w:t>
      </w:r>
    </w:p>
    <w:p>
      <w:pPr>
        <w:jc w:val="center"/>
        <w:rPr>
          <w:rFonts w:ascii="黑体" w:hAnsi="黑体" w:eastAsia="黑体" w:cs="黑体"/>
          <w:bCs/>
          <w:sz w:val="36"/>
          <w:szCs w:val="36"/>
        </w:rPr>
      </w:pPr>
      <w:r>
        <w:rPr>
          <w:rFonts w:hint="eastAsia" w:ascii="黑体" w:hAnsi="黑体" w:eastAsia="黑体" w:cs="黑体"/>
          <w:bCs/>
          <w:sz w:val="36"/>
          <w:szCs w:val="36"/>
        </w:rPr>
        <w:t>广州市品牌展会综合评价指标体系</w:t>
      </w:r>
    </w:p>
    <w:p>
      <w:pPr>
        <w:jc w:val="center"/>
        <w:rPr>
          <w:rFonts w:ascii="黑体" w:hAnsi="黑体" w:eastAsia="黑体" w:cs="黑体"/>
          <w:bCs/>
          <w:sz w:val="32"/>
          <w:szCs w:val="32"/>
        </w:rPr>
      </w:pPr>
    </w:p>
    <w:tbl>
      <w:tblPr>
        <w:tblStyle w:val="9"/>
        <w:tblW w:w="13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01"/>
        <w:gridCol w:w="1701"/>
        <w:gridCol w:w="5386"/>
        <w:gridCol w:w="3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 w:type="dxa"/>
            <w:vAlign w:val="center"/>
          </w:tcPr>
          <w:p>
            <w:pPr>
              <w:jc w:val="center"/>
              <w:rPr>
                <w:b/>
                <w:bCs/>
              </w:rPr>
            </w:pPr>
            <w:r>
              <w:rPr>
                <w:rFonts w:hint="eastAsia"/>
                <w:b/>
                <w:bCs/>
              </w:rPr>
              <w:t>序号</w:t>
            </w:r>
          </w:p>
        </w:tc>
        <w:tc>
          <w:tcPr>
            <w:tcW w:w="1701" w:type="dxa"/>
            <w:vAlign w:val="center"/>
          </w:tcPr>
          <w:p>
            <w:pPr>
              <w:jc w:val="center"/>
              <w:rPr>
                <w:rFonts w:hint="eastAsia" w:ascii="Calibri" w:hAnsi="Calibri" w:eastAsia="宋体" w:cs="Times New Roman"/>
                <w:b/>
                <w:bCs/>
                <w:kern w:val="2"/>
                <w:sz w:val="21"/>
                <w:szCs w:val="22"/>
                <w:lang w:val="en-US" w:eastAsia="zh-CN" w:bidi="ar-SA"/>
              </w:rPr>
            </w:pPr>
            <w:r>
              <w:rPr>
                <w:rFonts w:hint="eastAsia"/>
                <w:b/>
                <w:bCs/>
              </w:rPr>
              <w:t>指标</w:t>
            </w:r>
          </w:p>
        </w:tc>
        <w:tc>
          <w:tcPr>
            <w:tcW w:w="1701" w:type="dxa"/>
            <w:vAlign w:val="center"/>
          </w:tcPr>
          <w:p>
            <w:pPr>
              <w:jc w:val="center"/>
              <w:rPr>
                <w:rFonts w:hint="eastAsia" w:eastAsia="宋体"/>
                <w:b/>
                <w:bCs/>
                <w:lang w:eastAsia="zh-CN"/>
              </w:rPr>
            </w:pPr>
            <w:r>
              <w:rPr>
                <w:rFonts w:hint="eastAsia"/>
                <w:b/>
                <w:bCs/>
                <w:lang w:eastAsia="zh-CN"/>
              </w:rPr>
              <w:t>分值</w:t>
            </w:r>
          </w:p>
        </w:tc>
        <w:tc>
          <w:tcPr>
            <w:tcW w:w="5386" w:type="dxa"/>
            <w:vAlign w:val="center"/>
          </w:tcPr>
          <w:p>
            <w:pPr>
              <w:jc w:val="center"/>
              <w:rPr>
                <w:b/>
                <w:bCs/>
              </w:rPr>
            </w:pPr>
            <w:r>
              <w:rPr>
                <w:rFonts w:hint="eastAsia"/>
                <w:b/>
                <w:bCs/>
              </w:rPr>
              <w:t>评分标准</w:t>
            </w:r>
          </w:p>
        </w:tc>
        <w:tc>
          <w:tcPr>
            <w:tcW w:w="3872" w:type="dxa"/>
            <w:vAlign w:val="center"/>
          </w:tcPr>
          <w:p>
            <w:pPr>
              <w:jc w:val="center"/>
              <w:rPr>
                <w:b/>
                <w:bCs/>
              </w:rPr>
            </w:pPr>
            <w:r>
              <w:rPr>
                <w:rFonts w:hint="eastAsia"/>
                <w:b/>
                <w:bCs/>
              </w:rPr>
              <w:t>评分依据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 w:type="dxa"/>
            <w:vAlign w:val="center"/>
          </w:tcPr>
          <w:p>
            <w:pPr>
              <w:jc w:val="left"/>
              <w:rPr>
                <w:rFonts w:hint="eastAsia" w:ascii="Calibri" w:hAnsi="Calibri" w:eastAsia="宋体" w:cs="Times New Roman"/>
                <w:kern w:val="2"/>
                <w:sz w:val="21"/>
                <w:szCs w:val="22"/>
                <w:lang w:val="en-US" w:eastAsia="zh-CN" w:bidi="ar-SA"/>
              </w:rPr>
            </w:pPr>
            <w:r>
              <w:rPr>
                <w:rFonts w:hint="eastAsia"/>
              </w:rPr>
              <w:t>1</w:t>
            </w:r>
          </w:p>
        </w:tc>
        <w:tc>
          <w:tcPr>
            <w:tcW w:w="1701" w:type="dxa"/>
            <w:vAlign w:val="center"/>
          </w:tcPr>
          <w:p>
            <w:pPr>
              <w:jc w:val="left"/>
            </w:pPr>
            <w:r>
              <w:rPr>
                <w:rFonts w:hint="eastAsia"/>
              </w:rPr>
              <w:t>展览</w:t>
            </w:r>
            <w:r>
              <w:rPr>
                <w:rFonts w:hint="eastAsia"/>
                <w:lang w:eastAsia="zh-CN"/>
              </w:rPr>
              <w:t>总</w:t>
            </w:r>
            <w:r>
              <w:rPr>
                <w:rFonts w:hint="eastAsia"/>
              </w:rPr>
              <w:t>面积</w:t>
            </w:r>
          </w:p>
          <w:p>
            <w:pPr>
              <w:jc w:val="left"/>
              <w:rPr>
                <w:rFonts w:hint="eastAsia" w:ascii="Calibri" w:hAnsi="Calibri" w:eastAsia="宋体" w:cs="Times New Roman"/>
                <w:b/>
                <w:color w:val="FF0000"/>
                <w:kern w:val="2"/>
                <w:sz w:val="21"/>
                <w:szCs w:val="22"/>
                <w:lang w:val="en-US" w:eastAsia="zh-CN" w:bidi="ar-SA"/>
              </w:rPr>
            </w:pPr>
            <w:r>
              <w:rPr>
                <w:rFonts w:hint="eastAsia"/>
              </w:rPr>
              <w:t>（</w:t>
            </w:r>
            <w:r>
              <w:rPr>
                <w:rFonts w:hint="eastAsia"/>
                <w:lang w:eastAsia="zh-CN"/>
              </w:rPr>
              <w:t>平方米</w:t>
            </w:r>
            <w:r>
              <w:rPr>
                <w:rFonts w:hint="eastAsia"/>
              </w:rPr>
              <w:t>）</w:t>
            </w:r>
          </w:p>
        </w:tc>
        <w:tc>
          <w:tcPr>
            <w:tcW w:w="1701" w:type="dxa"/>
            <w:vAlign w:val="center"/>
          </w:tcPr>
          <w:p>
            <w:pPr>
              <w:jc w:val="left"/>
              <w:rPr>
                <w:rFonts w:hint="eastAsia" w:ascii="Calibri" w:hAnsi="Calibri" w:eastAsia="宋体" w:cs="Times New Roman"/>
                <w:b/>
                <w:color w:val="FF0000"/>
                <w:kern w:val="2"/>
                <w:sz w:val="21"/>
                <w:szCs w:val="22"/>
                <w:lang w:val="en-US" w:eastAsia="zh-CN" w:bidi="ar-SA"/>
              </w:rPr>
            </w:pPr>
            <w:r>
              <w:rPr>
                <w:rFonts w:hint="eastAsia"/>
                <w:lang w:val="en-US" w:eastAsia="zh-CN"/>
              </w:rPr>
              <w:t>20</w:t>
            </w:r>
          </w:p>
        </w:tc>
        <w:tc>
          <w:tcPr>
            <w:tcW w:w="5386" w:type="dxa"/>
            <w:vAlign w:val="center"/>
          </w:tcPr>
          <w:p>
            <w:pPr>
              <w:jc w:val="left"/>
              <w:rPr>
                <w:rFonts w:hint="eastAsia" w:ascii="Calibri" w:hAnsi="Calibri" w:eastAsia="宋体" w:cs="Times New Roman"/>
                <w:kern w:val="2"/>
                <w:sz w:val="21"/>
                <w:szCs w:val="22"/>
                <w:lang w:val="en-US" w:eastAsia="zh-CN" w:bidi="ar-SA"/>
              </w:rPr>
            </w:pPr>
            <w:r>
              <w:rPr>
                <w:rFonts w:hint="eastAsia"/>
              </w:rPr>
              <w:t>1万㎡（含）得1分，1万㎡</w:t>
            </w:r>
            <w:r>
              <w:rPr>
                <w:rFonts w:hint="eastAsia"/>
                <w:lang w:eastAsia="zh-CN"/>
              </w:rPr>
              <w:t>以下不得分，</w:t>
            </w:r>
            <w:r>
              <w:rPr>
                <w:rFonts w:hint="eastAsia"/>
              </w:rPr>
              <w:t>每增加</w:t>
            </w:r>
            <w:r>
              <w:rPr>
                <w:rFonts w:hint="eastAsia"/>
                <w:lang w:val="en-US" w:eastAsia="zh-CN"/>
              </w:rPr>
              <w:t>1</w:t>
            </w:r>
            <w:r>
              <w:rPr>
                <w:rFonts w:hint="eastAsia"/>
              </w:rPr>
              <w:t>千㎡增加0.</w:t>
            </w:r>
            <w:r>
              <w:rPr>
                <w:rFonts w:hint="eastAsia"/>
                <w:lang w:val="en-US" w:eastAsia="zh-CN"/>
              </w:rPr>
              <w:t>1</w:t>
            </w:r>
            <w:r>
              <w:rPr>
                <w:rFonts w:hint="eastAsia"/>
              </w:rPr>
              <w:t>分，满</w:t>
            </w:r>
            <w:r>
              <w:rPr>
                <w:rFonts w:hint="eastAsia"/>
                <w:lang w:val="en-US" w:eastAsia="zh-CN"/>
              </w:rPr>
              <w:t>2</w:t>
            </w:r>
            <w:r>
              <w:rPr>
                <w:rFonts w:hint="eastAsia"/>
              </w:rPr>
              <w:t>0分为止。（满分需</w:t>
            </w:r>
            <w:r>
              <w:rPr>
                <w:rFonts w:hint="eastAsia"/>
                <w:lang w:val="en-US" w:eastAsia="zh-CN"/>
              </w:rPr>
              <w:t>2</w:t>
            </w:r>
            <w:r>
              <w:rPr>
                <w:rFonts w:hint="eastAsia"/>
              </w:rPr>
              <w:t>0万㎡）</w:t>
            </w:r>
          </w:p>
        </w:tc>
        <w:tc>
          <w:tcPr>
            <w:tcW w:w="3872" w:type="dxa"/>
            <w:vAlign w:val="center"/>
          </w:tcPr>
          <w:p>
            <w:pPr>
              <w:pStyle w:val="2"/>
              <w:rPr>
                <w:rFonts w:hint="eastAsia" w:ascii="Calibri" w:hAnsi="Calibri" w:eastAsia="宋体" w:cs="Times New Roman"/>
                <w:kern w:val="2"/>
                <w:sz w:val="21"/>
                <w:szCs w:val="22"/>
                <w:lang w:val="en-US" w:eastAsia="zh-CN" w:bidi="ar-SA"/>
              </w:rPr>
            </w:pPr>
            <w:r>
              <w:rPr>
                <w:rFonts w:hint="eastAsia"/>
              </w:rPr>
              <w:t>需提供场地租赁合同</w:t>
            </w:r>
            <w:r>
              <w:t>、</w:t>
            </w:r>
            <w:r>
              <w:rPr>
                <w:rFonts w:hint="eastAsia"/>
              </w:rPr>
              <w:t>报送办理公安消防手续并注明每个展位面积和展商名称的</w:t>
            </w:r>
            <w:r>
              <w:t>展位平面图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 w:type="dxa"/>
            <w:vAlign w:val="center"/>
          </w:tcPr>
          <w:p>
            <w:pPr>
              <w:jc w:val="left"/>
              <w:rPr>
                <w:rFonts w:hint="eastAsia" w:ascii="Calibri" w:hAnsi="Calibri" w:eastAsia="宋体" w:cs="Times New Roman"/>
                <w:kern w:val="2"/>
                <w:sz w:val="21"/>
                <w:szCs w:val="22"/>
                <w:lang w:val="en-US" w:eastAsia="zh-CN" w:bidi="ar-SA"/>
              </w:rPr>
            </w:pPr>
            <w:r>
              <w:rPr>
                <w:rFonts w:hint="eastAsia"/>
                <w:lang w:val="en-US" w:eastAsia="zh-CN"/>
              </w:rPr>
              <w:t>2</w:t>
            </w:r>
          </w:p>
        </w:tc>
        <w:tc>
          <w:tcPr>
            <w:tcW w:w="1701" w:type="dxa"/>
            <w:vAlign w:val="center"/>
          </w:tcPr>
          <w:p>
            <w:pPr>
              <w:jc w:val="left"/>
              <w:rPr>
                <w:rFonts w:hint="eastAsia" w:eastAsia="宋体"/>
                <w:lang w:eastAsia="zh-CN"/>
              </w:rPr>
            </w:pPr>
            <w:r>
              <w:rPr>
                <w:rFonts w:hint="eastAsia"/>
                <w:lang w:eastAsia="zh-CN"/>
              </w:rPr>
              <w:t>境外</w:t>
            </w:r>
            <w:r>
              <w:rPr>
                <w:rFonts w:hint="eastAsia"/>
              </w:rPr>
              <w:t>参展</w:t>
            </w:r>
            <w:r>
              <w:rPr>
                <w:rFonts w:hint="eastAsia"/>
                <w:lang w:eastAsia="zh-CN"/>
              </w:rPr>
              <w:t>商数量</w:t>
            </w:r>
          </w:p>
          <w:p>
            <w:pPr>
              <w:jc w:val="left"/>
              <w:rPr>
                <w:rFonts w:hint="eastAsia" w:ascii="Calibri" w:hAnsi="Calibri" w:eastAsia="宋体" w:cs="Times New Roman"/>
                <w:kern w:val="2"/>
                <w:sz w:val="21"/>
                <w:szCs w:val="22"/>
                <w:lang w:val="en-US" w:eastAsia="zh-CN" w:bidi="ar-SA"/>
              </w:rPr>
            </w:pPr>
            <w:r>
              <w:rPr>
                <w:rFonts w:hint="eastAsia"/>
              </w:rPr>
              <w:t>（</w:t>
            </w:r>
            <w:r>
              <w:rPr>
                <w:rFonts w:hint="eastAsia"/>
                <w:lang w:eastAsia="zh-CN"/>
              </w:rPr>
              <w:t>家</w:t>
            </w:r>
            <w:r>
              <w:rPr>
                <w:rFonts w:hint="eastAsia"/>
              </w:rPr>
              <w:t>）</w:t>
            </w:r>
          </w:p>
        </w:tc>
        <w:tc>
          <w:tcPr>
            <w:tcW w:w="1701" w:type="dxa"/>
            <w:vAlign w:val="center"/>
          </w:tcPr>
          <w:p>
            <w:pPr>
              <w:jc w:val="left"/>
              <w:rPr>
                <w:rFonts w:hint="eastAsia" w:ascii="Calibri" w:hAnsi="Calibri" w:eastAsia="宋体" w:cs="Times New Roman"/>
                <w:kern w:val="2"/>
                <w:sz w:val="21"/>
                <w:szCs w:val="22"/>
                <w:lang w:val="en-US" w:eastAsia="zh-CN" w:bidi="ar-SA"/>
              </w:rPr>
            </w:pPr>
            <w:r>
              <w:rPr>
                <w:rFonts w:hint="eastAsia"/>
                <w:lang w:val="en-US" w:eastAsia="zh-CN"/>
              </w:rPr>
              <w:t>10</w:t>
            </w:r>
          </w:p>
        </w:tc>
        <w:tc>
          <w:tcPr>
            <w:tcW w:w="5386" w:type="dxa"/>
            <w:vAlign w:val="center"/>
          </w:tcPr>
          <w:p>
            <w:pPr>
              <w:jc w:val="left"/>
              <w:rPr>
                <w:rFonts w:hint="eastAsia" w:ascii="Calibri" w:hAnsi="Calibri" w:eastAsia="宋体" w:cs="Times New Roman"/>
                <w:kern w:val="2"/>
                <w:sz w:val="21"/>
                <w:szCs w:val="22"/>
                <w:lang w:val="en-US" w:eastAsia="zh-CN" w:bidi="ar-SA"/>
              </w:rPr>
            </w:pPr>
            <w:r>
              <w:rPr>
                <w:rFonts w:hint="eastAsia"/>
              </w:rPr>
              <w:t>20家（含）得1分，</w:t>
            </w:r>
            <w:r>
              <w:rPr>
                <w:rFonts w:hint="eastAsia"/>
                <w:lang w:val="en-US" w:eastAsia="zh-CN"/>
              </w:rPr>
              <w:t>20家以下不得分，</w:t>
            </w:r>
            <w:r>
              <w:rPr>
                <w:rFonts w:hint="eastAsia"/>
              </w:rPr>
              <w:t>每增加10家增加0.5分，满10分为止。（满分需</w:t>
            </w:r>
            <w:r>
              <w:rPr>
                <w:rFonts w:hint="eastAsia"/>
                <w:lang w:val="en-US" w:eastAsia="zh-CN"/>
              </w:rPr>
              <w:t>1</w:t>
            </w:r>
            <w:r>
              <w:rPr>
                <w:rFonts w:hint="eastAsia"/>
              </w:rPr>
              <w:t>00家）</w:t>
            </w:r>
          </w:p>
        </w:tc>
        <w:tc>
          <w:tcPr>
            <w:tcW w:w="3872" w:type="dxa"/>
            <w:vAlign w:val="top"/>
          </w:tcPr>
          <w:p>
            <w:pPr>
              <w:rPr>
                <w:rFonts w:hint="eastAsia" w:ascii="Calibri" w:hAnsi="Calibri" w:eastAsia="宋体" w:cs="Times New Roman"/>
                <w:kern w:val="2"/>
                <w:sz w:val="21"/>
                <w:szCs w:val="22"/>
                <w:lang w:val="en-US" w:eastAsia="zh-CN" w:bidi="ar-SA"/>
              </w:rPr>
            </w:pPr>
            <w:r>
              <w:rPr>
                <w:rFonts w:hint="eastAsia"/>
              </w:rPr>
              <w:t>提供参展商名录</w:t>
            </w:r>
            <w:r>
              <w:rPr>
                <w:rFonts w:hint="eastAsia"/>
                <w:lang w:eastAsia="zh-CN"/>
              </w:rPr>
              <w:t>（须包括国籍信息）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567" w:type="dxa"/>
            <w:vAlign w:val="center"/>
          </w:tcPr>
          <w:p>
            <w:pPr>
              <w:jc w:val="left"/>
              <w:rPr>
                <w:rFonts w:hint="eastAsia" w:ascii="Calibri" w:hAnsi="Calibri" w:eastAsia="宋体" w:cs="Times New Roman"/>
                <w:kern w:val="2"/>
                <w:sz w:val="21"/>
                <w:szCs w:val="22"/>
                <w:lang w:val="en-US" w:eastAsia="zh-CN" w:bidi="ar-SA"/>
              </w:rPr>
            </w:pPr>
            <w:r>
              <w:rPr>
                <w:rFonts w:hint="eastAsia"/>
                <w:lang w:val="en-US" w:eastAsia="zh-CN"/>
              </w:rPr>
              <w:t>3</w:t>
            </w:r>
          </w:p>
        </w:tc>
        <w:tc>
          <w:tcPr>
            <w:tcW w:w="1701" w:type="dxa"/>
            <w:vAlign w:val="center"/>
          </w:tcPr>
          <w:p>
            <w:pPr>
              <w:jc w:val="left"/>
              <w:rPr>
                <w:rFonts w:hint="eastAsia" w:ascii="Calibri" w:hAnsi="Calibri" w:eastAsia="宋体" w:cs="Times New Roman"/>
                <w:kern w:val="2"/>
                <w:sz w:val="21"/>
                <w:szCs w:val="22"/>
                <w:lang w:val="en-US" w:eastAsia="zh-CN" w:bidi="ar-SA"/>
              </w:rPr>
            </w:pPr>
            <w:r>
              <w:rPr>
                <w:rFonts w:hint="eastAsia"/>
                <w:lang w:eastAsia="zh-CN"/>
              </w:rPr>
              <w:t>省外企业参展面积占比</w:t>
            </w:r>
            <w:r>
              <w:rPr>
                <w:rFonts w:hint="eastAsia"/>
              </w:rPr>
              <w:t>（</w:t>
            </w:r>
            <w:r>
              <w:rPr>
                <w:rFonts w:hint="eastAsia"/>
                <w:lang w:val="en-US" w:eastAsia="zh-CN"/>
              </w:rPr>
              <w:t>%</w:t>
            </w:r>
            <w:r>
              <w:rPr>
                <w:rFonts w:hint="eastAsia"/>
              </w:rPr>
              <w:t>）</w:t>
            </w:r>
          </w:p>
        </w:tc>
        <w:tc>
          <w:tcPr>
            <w:tcW w:w="1701" w:type="dxa"/>
            <w:vAlign w:val="center"/>
          </w:tcPr>
          <w:p>
            <w:pPr>
              <w:jc w:val="left"/>
              <w:rPr>
                <w:rFonts w:hint="eastAsia" w:ascii="Calibri" w:hAnsi="Calibri" w:eastAsia="宋体" w:cs="Times New Roman"/>
                <w:kern w:val="2"/>
                <w:sz w:val="21"/>
                <w:szCs w:val="22"/>
                <w:lang w:val="en-US" w:eastAsia="zh-CN" w:bidi="ar-SA"/>
              </w:rPr>
            </w:pPr>
            <w:r>
              <w:rPr>
                <w:rFonts w:hint="eastAsia"/>
                <w:lang w:val="en-US" w:eastAsia="zh-CN"/>
              </w:rPr>
              <w:t>15</w:t>
            </w:r>
          </w:p>
        </w:tc>
        <w:tc>
          <w:tcPr>
            <w:tcW w:w="5386" w:type="dxa"/>
            <w:vAlign w:val="center"/>
          </w:tcPr>
          <w:p>
            <w:pPr>
              <w:jc w:val="left"/>
              <w:rPr>
                <w:rFonts w:hint="eastAsia" w:ascii="Calibri" w:hAnsi="Calibri" w:eastAsia="宋体" w:cs="Times New Roman"/>
                <w:kern w:val="2"/>
                <w:sz w:val="21"/>
                <w:szCs w:val="22"/>
                <w:lang w:val="en-US" w:eastAsia="zh-CN" w:bidi="ar-SA"/>
              </w:rPr>
            </w:pPr>
            <w:r>
              <w:rPr>
                <w:rFonts w:hint="eastAsia"/>
                <w:lang w:eastAsia="zh-CN"/>
              </w:rPr>
              <w:t>占比达</w:t>
            </w:r>
            <w:r>
              <w:rPr>
                <w:rFonts w:hint="eastAsia"/>
                <w:lang w:val="en-US" w:eastAsia="zh-CN"/>
              </w:rPr>
              <w:t>10%得1分，10%以下不得分，占比每增加1%</w:t>
            </w:r>
            <w:r>
              <w:rPr>
                <w:rFonts w:hint="eastAsia"/>
              </w:rPr>
              <w:t>得</w:t>
            </w:r>
            <w:r>
              <w:rPr>
                <w:rFonts w:hint="eastAsia"/>
                <w:lang w:val="en-US" w:eastAsia="zh-CN"/>
              </w:rPr>
              <w:t>0.5</w:t>
            </w:r>
            <w:r>
              <w:rPr>
                <w:rFonts w:hint="eastAsia"/>
              </w:rPr>
              <w:t>分，满</w:t>
            </w:r>
            <w:r>
              <w:rPr>
                <w:rFonts w:hint="eastAsia"/>
                <w:lang w:val="en-US" w:eastAsia="zh-CN"/>
              </w:rPr>
              <w:t>1</w:t>
            </w:r>
            <w:r>
              <w:rPr>
                <w:rFonts w:hint="eastAsia"/>
              </w:rPr>
              <w:t>5分为止。（满分</w:t>
            </w:r>
            <w:r>
              <w:rPr>
                <w:rFonts w:hint="eastAsia"/>
                <w:lang w:eastAsia="zh-CN"/>
              </w:rPr>
              <w:t>占比需达</w:t>
            </w:r>
            <w:r>
              <w:rPr>
                <w:rFonts w:hint="eastAsia"/>
                <w:lang w:val="en-US" w:eastAsia="zh-CN"/>
              </w:rPr>
              <w:t>38%</w:t>
            </w:r>
            <w:r>
              <w:rPr>
                <w:rFonts w:hint="eastAsia"/>
              </w:rPr>
              <w:t>）</w:t>
            </w:r>
          </w:p>
        </w:tc>
        <w:tc>
          <w:tcPr>
            <w:tcW w:w="3872" w:type="dxa"/>
            <w:vAlign w:val="top"/>
          </w:tcPr>
          <w:p>
            <w:pPr>
              <w:rPr>
                <w:rFonts w:hint="eastAsia" w:ascii="Calibri" w:hAnsi="Calibri" w:eastAsia="宋体" w:cs="Times New Roman"/>
                <w:kern w:val="2"/>
                <w:sz w:val="21"/>
                <w:szCs w:val="22"/>
                <w:lang w:val="en-US" w:eastAsia="zh-CN" w:bidi="ar-SA"/>
              </w:rPr>
            </w:pPr>
            <w:r>
              <w:rPr>
                <w:rFonts w:hint="eastAsia"/>
              </w:rPr>
              <w:t>报送注明每个展位面积和展商名称的</w:t>
            </w:r>
            <w:r>
              <w:t>展位平面图</w:t>
            </w:r>
            <w:r>
              <w:rPr>
                <w:rFonts w:hint="eastAsia"/>
                <w:lang w:eastAsia="zh-CN"/>
              </w:rPr>
              <w:t>，报送省外参展企业名</w:t>
            </w:r>
            <w:r>
              <w:rPr>
                <w:rFonts w:hint="eastAsia"/>
                <w:lang w:val="en-US" w:eastAsia="zh-CN"/>
              </w:rPr>
              <w:t>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567" w:type="dxa"/>
            <w:vAlign w:val="center"/>
          </w:tcPr>
          <w:p>
            <w:pPr>
              <w:jc w:val="left"/>
              <w:rPr>
                <w:rFonts w:hint="default"/>
                <w:lang w:val="en-US" w:eastAsia="zh-CN"/>
              </w:rPr>
            </w:pPr>
            <w:r>
              <w:rPr>
                <w:rFonts w:hint="eastAsia"/>
                <w:lang w:val="en-US" w:eastAsia="zh-CN"/>
              </w:rPr>
              <w:t>4</w:t>
            </w:r>
          </w:p>
        </w:tc>
        <w:tc>
          <w:tcPr>
            <w:tcW w:w="1701" w:type="dxa"/>
            <w:vAlign w:val="center"/>
          </w:tcPr>
          <w:p>
            <w:pPr>
              <w:jc w:val="left"/>
              <w:rPr>
                <w:rFonts w:hint="eastAsia" w:ascii="Calibri" w:hAnsi="Calibri" w:eastAsia="宋体" w:cs="Times New Roman"/>
                <w:kern w:val="2"/>
                <w:sz w:val="21"/>
                <w:szCs w:val="22"/>
                <w:lang w:val="en-US" w:eastAsia="zh-CN" w:bidi="ar-SA"/>
              </w:rPr>
            </w:pPr>
            <w:r>
              <w:rPr>
                <w:rFonts w:hint="eastAsia"/>
              </w:rPr>
              <w:t>专业观众</w:t>
            </w:r>
            <w:r>
              <w:rPr>
                <w:rFonts w:hint="eastAsia"/>
                <w:lang w:eastAsia="zh-CN"/>
              </w:rPr>
              <w:t>人</w:t>
            </w:r>
            <w:r>
              <w:rPr>
                <w:rFonts w:hint="eastAsia"/>
              </w:rPr>
              <w:t>数（人）</w:t>
            </w:r>
          </w:p>
        </w:tc>
        <w:tc>
          <w:tcPr>
            <w:tcW w:w="1701" w:type="dxa"/>
            <w:vAlign w:val="center"/>
          </w:tcPr>
          <w:p>
            <w:pPr>
              <w:jc w:val="left"/>
              <w:rPr>
                <w:rFonts w:hint="eastAsia"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15</w:t>
            </w:r>
          </w:p>
        </w:tc>
        <w:tc>
          <w:tcPr>
            <w:tcW w:w="5386" w:type="dxa"/>
            <w:vAlign w:val="center"/>
          </w:tcPr>
          <w:p>
            <w:pPr>
              <w:jc w:val="left"/>
              <w:rPr>
                <w:rFonts w:hint="eastAsia" w:ascii="Calibri" w:hAnsi="Calibri" w:eastAsia="宋体" w:cs="Times New Roman"/>
                <w:kern w:val="2"/>
                <w:sz w:val="21"/>
                <w:szCs w:val="22"/>
                <w:lang w:val="en-US" w:eastAsia="zh-CN" w:bidi="ar-SA"/>
              </w:rPr>
            </w:pPr>
            <w:r>
              <w:rPr>
                <w:rFonts w:hint="eastAsia"/>
              </w:rPr>
              <w:t>0.2万（含）得1分，0.2万以下不得分，每增加0.1万增加0.</w:t>
            </w:r>
            <w:r>
              <w:rPr>
                <w:rFonts w:hint="eastAsia"/>
                <w:lang w:val="en-US" w:eastAsia="zh-CN"/>
              </w:rPr>
              <w:t>1</w:t>
            </w:r>
            <w:r>
              <w:rPr>
                <w:rFonts w:hint="eastAsia"/>
              </w:rPr>
              <w:t>分，满1</w:t>
            </w:r>
            <w:r>
              <w:rPr>
                <w:rFonts w:hint="eastAsia"/>
                <w:lang w:val="en-US" w:eastAsia="zh-CN"/>
              </w:rPr>
              <w:t>5</w:t>
            </w:r>
            <w:r>
              <w:rPr>
                <w:rFonts w:hint="eastAsia"/>
              </w:rPr>
              <w:t>分为止。（满分需</w:t>
            </w:r>
            <w:r>
              <w:rPr>
                <w:rFonts w:hint="eastAsia"/>
                <w:lang w:val="en-US" w:eastAsia="zh-CN"/>
              </w:rPr>
              <w:t>1</w:t>
            </w:r>
            <w:r>
              <w:rPr>
                <w:rFonts w:hint="eastAsia"/>
              </w:rPr>
              <w:t>4.</w:t>
            </w:r>
            <w:r>
              <w:rPr>
                <w:rFonts w:hint="eastAsia"/>
                <w:lang w:val="en-US" w:eastAsia="zh-CN"/>
              </w:rPr>
              <w:t>2</w:t>
            </w:r>
            <w:r>
              <w:rPr>
                <w:rFonts w:hint="eastAsia"/>
              </w:rPr>
              <w:t>万）</w:t>
            </w:r>
          </w:p>
        </w:tc>
        <w:tc>
          <w:tcPr>
            <w:tcW w:w="3872" w:type="dxa"/>
            <w:vAlign w:val="top"/>
          </w:tcPr>
          <w:p>
            <w:pPr>
              <w:rPr>
                <w:rFonts w:hint="eastAsia" w:ascii="Calibri" w:hAnsi="Calibri" w:eastAsia="宋体" w:cs="Times New Roman"/>
                <w:b/>
                <w:color w:val="FF0000"/>
                <w:kern w:val="2"/>
                <w:sz w:val="21"/>
                <w:szCs w:val="22"/>
                <w:lang w:val="en-US" w:eastAsia="zh-CN" w:bidi="ar-SA"/>
              </w:rPr>
            </w:pPr>
            <w:r>
              <w:rPr>
                <w:rFonts w:hint="eastAsia"/>
              </w:rPr>
              <w:t>主办机构提供的专业观众登记汇总表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567" w:type="dxa"/>
            <w:vAlign w:val="center"/>
          </w:tcPr>
          <w:p>
            <w:pPr>
              <w:jc w:val="left"/>
              <w:rPr>
                <w:rFonts w:hint="eastAsia" w:ascii="Calibri" w:hAnsi="Calibri" w:eastAsia="宋体" w:cs="Times New Roman"/>
                <w:kern w:val="2"/>
                <w:sz w:val="21"/>
                <w:szCs w:val="22"/>
                <w:lang w:val="en-US" w:eastAsia="zh-CN" w:bidi="ar-SA"/>
              </w:rPr>
            </w:pPr>
            <w:r>
              <w:rPr>
                <w:rFonts w:hint="eastAsia"/>
                <w:lang w:val="en-US" w:eastAsia="zh-CN"/>
              </w:rPr>
              <w:t>5</w:t>
            </w:r>
          </w:p>
        </w:tc>
        <w:tc>
          <w:tcPr>
            <w:tcW w:w="1701" w:type="dxa"/>
            <w:vAlign w:val="center"/>
          </w:tcPr>
          <w:p>
            <w:pPr>
              <w:jc w:val="left"/>
            </w:pPr>
          </w:p>
          <w:p>
            <w:pPr>
              <w:jc w:val="left"/>
              <w:rPr>
                <w:rFonts w:hint="eastAsia" w:ascii="Calibri" w:hAnsi="Calibri" w:eastAsia="宋体" w:cs="Times New Roman"/>
                <w:kern w:val="2"/>
                <w:sz w:val="21"/>
                <w:szCs w:val="22"/>
                <w:lang w:val="en-US" w:eastAsia="zh-CN" w:bidi="ar-SA"/>
              </w:rPr>
            </w:pPr>
            <w:r>
              <w:rPr>
                <w:rFonts w:hint="eastAsia"/>
                <w:lang w:eastAsia="zh-CN"/>
              </w:rPr>
              <w:t>境外专业观众人数</w:t>
            </w:r>
            <w:r>
              <w:rPr>
                <w:rFonts w:hint="eastAsia"/>
              </w:rPr>
              <w:t>（</w:t>
            </w:r>
            <w:r>
              <w:rPr>
                <w:rFonts w:hint="eastAsia"/>
                <w:lang w:val="en-US" w:eastAsia="zh-CN"/>
              </w:rPr>
              <w:t>人</w:t>
            </w:r>
            <w:r>
              <w:rPr>
                <w:rFonts w:hint="eastAsia"/>
              </w:rPr>
              <w:t>）</w:t>
            </w:r>
          </w:p>
        </w:tc>
        <w:tc>
          <w:tcPr>
            <w:tcW w:w="1701" w:type="dxa"/>
            <w:vAlign w:val="center"/>
          </w:tcPr>
          <w:p>
            <w:pPr>
              <w:jc w:val="left"/>
              <w:rPr>
                <w:rFonts w:hint="eastAsia" w:ascii="Calibri" w:hAnsi="Calibri" w:eastAsia="宋体" w:cs="Times New Roman"/>
                <w:kern w:val="2"/>
                <w:sz w:val="21"/>
                <w:szCs w:val="22"/>
                <w:lang w:val="en-US" w:eastAsia="zh-CN" w:bidi="ar-SA"/>
              </w:rPr>
            </w:pPr>
            <w:r>
              <w:rPr>
                <w:rFonts w:hint="eastAsia"/>
                <w:lang w:val="en-US" w:eastAsia="zh-CN"/>
              </w:rPr>
              <w:t>10</w:t>
            </w:r>
          </w:p>
        </w:tc>
        <w:tc>
          <w:tcPr>
            <w:tcW w:w="5386" w:type="dxa"/>
            <w:vAlign w:val="center"/>
          </w:tcPr>
          <w:p>
            <w:pPr>
              <w:jc w:val="left"/>
              <w:rPr>
                <w:rFonts w:hint="eastAsia" w:ascii="Calibri" w:hAnsi="Calibri" w:eastAsia="宋体" w:cs="Times New Roman"/>
                <w:kern w:val="2"/>
                <w:sz w:val="21"/>
                <w:szCs w:val="22"/>
                <w:lang w:val="en-US" w:eastAsia="zh-CN" w:bidi="ar-SA"/>
              </w:rPr>
            </w:pPr>
            <w:r>
              <w:t>20</w:t>
            </w:r>
            <w:r>
              <w:rPr>
                <w:rFonts w:hint="eastAsia"/>
                <w:lang w:val="en-US" w:eastAsia="zh-CN"/>
              </w:rPr>
              <w:t>0</w:t>
            </w:r>
            <w:r>
              <w:rPr>
                <w:rFonts w:hint="eastAsia"/>
                <w:lang w:eastAsia="zh-CN"/>
              </w:rPr>
              <w:t>人</w:t>
            </w:r>
            <w:r>
              <w:rPr>
                <w:rFonts w:hint="eastAsia"/>
              </w:rPr>
              <w:t>（含）得1分，20</w:t>
            </w:r>
            <w:r>
              <w:rPr>
                <w:rFonts w:hint="eastAsia"/>
                <w:lang w:val="en-US" w:eastAsia="zh-CN"/>
              </w:rPr>
              <w:t>0</w:t>
            </w:r>
            <w:r>
              <w:rPr>
                <w:rFonts w:hint="eastAsia"/>
                <w:lang w:eastAsia="zh-CN"/>
              </w:rPr>
              <w:t>人</w:t>
            </w:r>
            <w:r>
              <w:rPr>
                <w:rFonts w:hint="eastAsia"/>
              </w:rPr>
              <w:t>以下不得分，每增加</w:t>
            </w:r>
            <w:r>
              <w:rPr>
                <w:rFonts w:hint="eastAsia"/>
                <w:lang w:val="en-US" w:eastAsia="zh-CN"/>
              </w:rPr>
              <w:t>50人</w:t>
            </w:r>
            <w:r>
              <w:rPr>
                <w:rFonts w:hint="eastAsia"/>
              </w:rPr>
              <w:t>增加0.1分，满</w:t>
            </w:r>
            <w:r>
              <w:rPr>
                <w:rFonts w:hint="eastAsia"/>
                <w:lang w:val="en-US" w:eastAsia="zh-CN"/>
              </w:rPr>
              <w:t>10</w:t>
            </w:r>
            <w:r>
              <w:rPr>
                <w:rFonts w:hint="eastAsia"/>
              </w:rPr>
              <w:t>分为止。（满分需</w:t>
            </w:r>
            <w:r>
              <w:rPr>
                <w:rFonts w:hint="eastAsia"/>
                <w:lang w:val="en-US" w:eastAsia="zh-CN"/>
              </w:rPr>
              <w:t>4700</w:t>
            </w:r>
            <w:r>
              <w:rPr>
                <w:rFonts w:hint="eastAsia"/>
                <w:lang w:eastAsia="zh-CN"/>
              </w:rPr>
              <w:t>人</w:t>
            </w:r>
            <w:r>
              <w:rPr>
                <w:rFonts w:hint="eastAsia"/>
              </w:rPr>
              <w:t>）</w:t>
            </w:r>
          </w:p>
        </w:tc>
        <w:tc>
          <w:tcPr>
            <w:tcW w:w="3872" w:type="dxa"/>
            <w:vAlign w:val="top"/>
          </w:tcPr>
          <w:p>
            <w:pPr>
              <w:rPr>
                <w:rFonts w:hint="eastAsia" w:ascii="Calibri" w:hAnsi="Calibri" w:eastAsia="宋体" w:cs="Times New Roman"/>
                <w:kern w:val="2"/>
                <w:sz w:val="21"/>
                <w:szCs w:val="22"/>
                <w:lang w:val="en-US" w:eastAsia="zh-CN" w:bidi="ar-SA"/>
              </w:rPr>
            </w:pPr>
            <w:r>
              <w:rPr>
                <w:rFonts w:hint="eastAsia"/>
                <w:lang w:eastAsia="zh-CN"/>
              </w:rPr>
              <w:t>提供境外观众有效的身份证明信息。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567" w:type="dxa"/>
            <w:vAlign w:val="center"/>
          </w:tcPr>
          <w:p>
            <w:pPr>
              <w:jc w:val="left"/>
              <w:rPr>
                <w:rFonts w:hint="eastAsia" w:ascii="Calibri" w:hAnsi="Calibri" w:eastAsia="宋体" w:cs="Times New Roman"/>
                <w:kern w:val="2"/>
                <w:sz w:val="21"/>
                <w:szCs w:val="22"/>
                <w:lang w:val="en-US" w:eastAsia="zh-CN" w:bidi="ar-SA"/>
              </w:rPr>
            </w:pPr>
            <w:r>
              <w:rPr>
                <w:rFonts w:hint="eastAsia"/>
                <w:lang w:val="en-US" w:eastAsia="zh-CN"/>
              </w:rPr>
              <w:t>6</w:t>
            </w:r>
          </w:p>
        </w:tc>
        <w:tc>
          <w:tcPr>
            <w:tcW w:w="1701" w:type="dxa"/>
            <w:vAlign w:val="center"/>
          </w:tcPr>
          <w:p>
            <w:pPr>
              <w:jc w:val="left"/>
              <w:rPr>
                <w:rFonts w:hint="eastAsia"/>
              </w:rPr>
            </w:pPr>
            <w:r>
              <w:rPr>
                <w:rFonts w:hint="eastAsia"/>
                <w:lang w:eastAsia="zh-CN"/>
              </w:rPr>
              <w:t>专业论坛</w:t>
            </w:r>
            <w:r>
              <w:rPr>
                <w:rFonts w:hint="eastAsia"/>
              </w:rPr>
              <w:t>规模与规格</w:t>
            </w:r>
          </w:p>
        </w:tc>
        <w:tc>
          <w:tcPr>
            <w:tcW w:w="1701" w:type="dxa"/>
            <w:vAlign w:val="center"/>
          </w:tcPr>
          <w:p>
            <w:pPr>
              <w:jc w:val="left"/>
            </w:pPr>
          </w:p>
          <w:p>
            <w:pPr>
              <w:jc w:val="left"/>
              <w:rPr>
                <w:rFonts w:hint="eastAsia" w:ascii="Calibri" w:hAnsi="Calibri" w:eastAsia="宋体" w:cs="Times New Roman"/>
                <w:kern w:val="2"/>
                <w:sz w:val="21"/>
                <w:szCs w:val="22"/>
                <w:lang w:val="en-US" w:eastAsia="zh-CN" w:bidi="ar-SA"/>
              </w:rPr>
            </w:pPr>
            <w:r>
              <w:rPr>
                <w:rFonts w:hint="eastAsia"/>
                <w:lang w:val="en-US" w:eastAsia="zh-CN"/>
              </w:rPr>
              <w:t>10</w:t>
            </w:r>
          </w:p>
        </w:tc>
        <w:tc>
          <w:tcPr>
            <w:tcW w:w="5386" w:type="dxa"/>
            <w:vAlign w:val="center"/>
          </w:tcPr>
          <w:p>
            <w:pPr>
              <w:jc w:val="left"/>
              <w:rPr>
                <w:rFonts w:hint="eastAsia" w:ascii="Calibri" w:hAnsi="Calibri" w:eastAsia="宋体" w:cs="Times New Roman"/>
                <w:kern w:val="2"/>
                <w:sz w:val="21"/>
                <w:szCs w:val="22"/>
                <w:lang w:val="en-US" w:eastAsia="zh-CN" w:bidi="ar-SA"/>
              </w:rPr>
            </w:pPr>
            <w:r>
              <w:rPr>
                <w:rFonts w:hint="eastAsia"/>
              </w:rPr>
              <w:t>规模300人以上，演讲者级别达到：行政嘉宾部委以上，或行业领军人物，或学术嘉宾院士以上，并且与展览主题一致的专业论坛达到1场或以上（</w:t>
            </w:r>
            <w:r>
              <w:rPr>
                <w:rFonts w:hint="eastAsia"/>
                <w:lang w:val="en-US" w:eastAsia="zh-CN"/>
              </w:rPr>
              <w:t>10</w:t>
            </w:r>
            <w:r>
              <w:rPr>
                <w:rFonts w:hint="eastAsia"/>
              </w:rPr>
              <w:t>分）；规模200—300人，演讲者级别达到：行政嘉宾厅级以上，或行业领军人物，或学术嘉宾教授级以上并且与展览主题一致的专业论坛达到1场（</w:t>
            </w:r>
            <w:r>
              <w:rPr>
                <w:rFonts w:hint="eastAsia"/>
                <w:lang w:val="en-US" w:eastAsia="zh-CN"/>
              </w:rPr>
              <w:t>6</w:t>
            </w:r>
            <w:r>
              <w:rPr>
                <w:rFonts w:hint="eastAsia"/>
              </w:rPr>
              <w:t>分）；规模100-200人，演讲者级别达到：行政嘉宾局级以上，或行业影响力代表人物，或学术嘉宾正高级专业技术职称并且与展览主题一致的专业论坛达到1场（</w:t>
            </w:r>
            <w:r>
              <w:rPr>
                <w:rFonts w:hint="eastAsia"/>
                <w:lang w:val="en-US" w:eastAsia="zh-CN"/>
              </w:rPr>
              <w:t>4</w:t>
            </w:r>
            <w:r>
              <w:rPr>
                <w:rFonts w:hint="eastAsia"/>
              </w:rPr>
              <w:t>分）；以上均不符合（0分）</w:t>
            </w:r>
          </w:p>
        </w:tc>
        <w:tc>
          <w:tcPr>
            <w:tcW w:w="3872" w:type="dxa"/>
            <w:vAlign w:val="top"/>
          </w:tcPr>
          <w:p>
            <w:pPr>
              <w:rPr>
                <w:rFonts w:hint="eastAsia" w:ascii="Calibri" w:hAnsi="Calibri" w:eastAsia="宋体" w:cs="Times New Roman"/>
                <w:kern w:val="2"/>
                <w:sz w:val="21"/>
                <w:szCs w:val="22"/>
                <w:lang w:val="en-US" w:eastAsia="zh-CN" w:bidi="ar-SA"/>
              </w:rPr>
            </w:pPr>
            <w:r>
              <w:rPr>
                <w:rFonts w:hint="eastAsia"/>
              </w:rPr>
              <w:t>提供论坛背景材料如论坛方案、影像资料，演讲者相关信息如姓名、职务、职称等。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567" w:type="dxa"/>
            <w:vAlign w:val="center"/>
          </w:tcPr>
          <w:p>
            <w:pPr>
              <w:jc w:val="left"/>
              <w:rPr>
                <w:rFonts w:hint="default"/>
                <w:lang w:val="en-US"/>
              </w:rPr>
            </w:pPr>
            <w:r>
              <w:rPr>
                <w:rFonts w:hint="eastAsia"/>
                <w:lang w:val="en-US" w:eastAsia="zh-CN"/>
              </w:rPr>
              <w:t>7</w:t>
            </w:r>
          </w:p>
        </w:tc>
        <w:tc>
          <w:tcPr>
            <w:tcW w:w="1701" w:type="dxa"/>
            <w:vAlign w:val="center"/>
          </w:tcPr>
          <w:p>
            <w:pPr>
              <w:jc w:val="left"/>
            </w:pPr>
            <w:r>
              <w:rPr>
                <w:rFonts w:hint="eastAsia"/>
              </w:rPr>
              <w:t>展会存续性</w:t>
            </w:r>
          </w:p>
          <w:p>
            <w:pPr>
              <w:jc w:val="left"/>
              <w:rPr>
                <w:rFonts w:hint="eastAsia" w:ascii="Calibri" w:hAnsi="Calibri" w:eastAsia="宋体" w:cs="Times New Roman"/>
                <w:kern w:val="2"/>
                <w:sz w:val="21"/>
                <w:szCs w:val="22"/>
                <w:lang w:val="en-US" w:eastAsia="zh-CN" w:bidi="ar-SA"/>
              </w:rPr>
            </w:pPr>
          </w:p>
        </w:tc>
        <w:tc>
          <w:tcPr>
            <w:tcW w:w="1701" w:type="dxa"/>
            <w:vAlign w:val="center"/>
          </w:tcPr>
          <w:p>
            <w:pPr>
              <w:jc w:val="left"/>
              <w:rPr>
                <w:rFonts w:hint="default" w:eastAsia="宋体"/>
                <w:lang w:val="en-US" w:eastAsia="zh-CN"/>
              </w:rPr>
            </w:pPr>
            <w:r>
              <w:rPr>
                <w:rFonts w:hint="eastAsia"/>
                <w:lang w:val="en-US" w:eastAsia="zh-CN"/>
              </w:rPr>
              <w:t>10</w:t>
            </w:r>
          </w:p>
        </w:tc>
        <w:tc>
          <w:tcPr>
            <w:tcW w:w="5386" w:type="dxa"/>
            <w:vAlign w:val="center"/>
          </w:tcPr>
          <w:p>
            <w:pPr>
              <w:jc w:val="left"/>
            </w:pPr>
            <w:r>
              <w:rPr>
                <w:rFonts w:hint="eastAsia"/>
              </w:rPr>
              <w:t>一年举办一届或两年举办一届的展会，如连续举办满3（含）届（年）得1分，</w:t>
            </w:r>
            <w:r>
              <w:rPr>
                <w:rFonts w:hint="eastAsia"/>
                <w:lang w:val="en-US" w:eastAsia="zh-CN"/>
              </w:rPr>
              <w:t>3年以下不得分，</w:t>
            </w:r>
            <w:r>
              <w:rPr>
                <w:rFonts w:hint="eastAsia"/>
              </w:rPr>
              <w:t>每增加一届（年）增加0.5分，满</w:t>
            </w:r>
            <w:r>
              <w:rPr>
                <w:rFonts w:hint="eastAsia"/>
                <w:lang w:val="en-US" w:eastAsia="zh-CN"/>
              </w:rPr>
              <w:t>10</w:t>
            </w:r>
            <w:r>
              <w:rPr>
                <w:rFonts w:hint="eastAsia"/>
              </w:rPr>
              <w:t>分为止。一年举办两届及以上的展会，当年分值计算只算一届，增加分值计算类推至上一年，同样只算上一年的一届。（满分需</w:t>
            </w:r>
            <w:r>
              <w:rPr>
                <w:rFonts w:hint="eastAsia"/>
                <w:lang w:val="en-US" w:eastAsia="zh-CN"/>
              </w:rPr>
              <w:t>21</w:t>
            </w:r>
            <w:r>
              <w:rPr>
                <w:rFonts w:hint="eastAsia"/>
              </w:rPr>
              <w:t>年）</w:t>
            </w:r>
          </w:p>
        </w:tc>
        <w:tc>
          <w:tcPr>
            <w:tcW w:w="3872" w:type="dxa"/>
          </w:tcPr>
          <w:p>
            <w:r>
              <w:rPr>
                <w:rFonts w:hint="eastAsia"/>
              </w:rPr>
              <w:t>申报机构提供证明材料，第三方机构核查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567" w:type="dxa"/>
            <w:vAlign w:val="center"/>
          </w:tcPr>
          <w:p>
            <w:pPr>
              <w:jc w:val="left"/>
              <w:rPr>
                <w:rFonts w:hint="default"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8</w:t>
            </w:r>
          </w:p>
        </w:tc>
        <w:tc>
          <w:tcPr>
            <w:tcW w:w="1701" w:type="dxa"/>
            <w:vAlign w:val="center"/>
          </w:tcPr>
          <w:p>
            <w:pPr>
              <w:jc w:val="left"/>
            </w:pPr>
            <w:r>
              <w:rPr>
                <w:rFonts w:hint="eastAsia"/>
                <w:lang w:eastAsia="zh-CN"/>
              </w:rPr>
              <w:t>展览收益</w:t>
            </w:r>
          </w:p>
          <w:p>
            <w:pPr>
              <w:jc w:val="left"/>
              <w:rPr>
                <w:rFonts w:hint="eastAsia" w:ascii="Calibri" w:hAnsi="Calibri" w:eastAsia="宋体" w:cs="Times New Roman"/>
                <w:kern w:val="2"/>
                <w:sz w:val="21"/>
                <w:szCs w:val="22"/>
                <w:lang w:val="en-US" w:eastAsia="zh-CN" w:bidi="ar-SA"/>
              </w:rPr>
            </w:pPr>
          </w:p>
        </w:tc>
        <w:tc>
          <w:tcPr>
            <w:tcW w:w="1701" w:type="dxa"/>
            <w:vAlign w:val="center"/>
          </w:tcPr>
          <w:p>
            <w:pPr>
              <w:jc w:val="left"/>
              <w:rPr>
                <w:rFonts w:hint="default" w:ascii="Calibri" w:hAnsi="Calibri" w:eastAsia="宋体" w:cs="Times New Roman"/>
                <w:kern w:val="2"/>
                <w:sz w:val="21"/>
                <w:szCs w:val="22"/>
                <w:lang w:val="en-US" w:eastAsia="zh-CN" w:bidi="ar-SA"/>
              </w:rPr>
            </w:pPr>
            <w:r>
              <w:rPr>
                <w:rFonts w:hint="eastAsia" w:cs="Times New Roman"/>
                <w:kern w:val="2"/>
                <w:sz w:val="21"/>
                <w:szCs w:val="22"/>
                <w:lang w:val="en-US" w:eastAsia="zh-CN" w:bidi="ar-SA"/>
              </w:rPr>
              <w:t>10</w:t>
            </w:r>
          </w:p>
        </w:tc>
        <w:tc>
          <w:tcPr>
            <w:tcW w:w="5386" w:type="dxa"/>
            <w:vAlign w:val="center"/>
          </w:tcPr>
          <w:p>
            <w:pPr>
              <w:jc w:val="left"/>
              <w:rPr>
                <w:rFonts w:hint="default" w:ascii="Calibri" w:hAnsi="Calibri" w:eastAsia="宋体" w:cs="Times New Roman"/>
                <w:kern w:val="2"/>
                <w:sz w:val="21"/>
                <w:szCs w:val="22"/>
                <w:lang w:val="en-US" w:eastAsia="zh-CN" w:bidi="ar-SA"/>
              </w:rPr>
            </w:pPr>
            <w:r>
              <w:rPr>
                <w:rFonts w:hint="eastAsia"/>
                <w:lang w:eastAsia="zh-CN"/>
              </w:rPr>
              <w:t>展览毛利率</w:t>
            </w:r>
            <w:r>
              <w:rPr>
                <w:rFonts w:hint="eastAsia"/>
                <w:lang w:val="en-US" w:eastAsia="zh-CN"/>
              </w:rPr>
              <w:t>10%（含）</w:t>
            </w:r>
            <w:r>
              <w:rPr>
                <w:rFonts w:hint="eastAsia"/>
                <w:lang w:eastAsia="zh-CN"/>
              </w:rPr>
              <w:t>得</w:t>
            </w:r>
            <w:r>
              <w:rPr>
                <w:rFonts w:hint="eastAsia"/>
                <w:lang w:val="en-US" w:eastAsia="zh-CN"/>
              </w:rPr>
              <w:t>1分，10%以下不得分，每提高1个百分点增加0.2分，满分10分为止（满分毛利率需达到55%）</w:t>
            </w:r>
          </w:p>
        </w:tc>
        <w:tc>
          <w:tcPr>
            <w:tcW w:w="3872" w:type="dxa"/>
          </w:tcPr>
          <w:p>
            <w:pPr>
              <w:rPr>
                <w:rFonts w:hint="eastAsia" w:eastAsia="宋体"/>
                <w:lang w:eastAsia="zh-CN"/>
              </w:rPr>
            </w:pPr>
            <w:r>
              <w:rPr>
                <w:rFonts w:hint="eastAsia"/>
                <w:lang w:eastAsia="zh-CN"/>
              </w:rPr>
              <w:t>提供展会审计资料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67" w:type="dxa"/>
            <w:vAlign w:val="center"/>
          </w:tcPr>
          <w:p>
            <w:pPr>
              <w:jc w:val="center"/>
              <w:rPr>
                <w:b/>
                <w:bCs/>
              </w:rPr>
            </w:pPr>
          </w:p>
        </w:tc>
        <w:tc>
          <w:tcPr>
            <w:tcW w:w="1701" w:type="dxa"/>
            <w:vAlign w:val="center"/>
          </w:tcPr>
          <w:p>
            <w:pPr>
              <w:jc w:val="center"/>
              <w:rPr>
                <w:rFonts w:hint="eastAsia"/>
                <w:b/>
                <w:bCs/>
                <w:lang w:val="en-US" w:eastAsia="zh-CN"/>
              </w:rPr>
            </w:pPr>
          </w:p>
        </w:tc>
        <w:tc>
          <w:tcPr>
            <w:tcW w:w="1701" w:type="dxa"/>
            <w:vAlign w:val="center"/>
          </w:tcPr>
          <w:p>
            <w:pPr>
              <w:jc w:val="center"/>
              <w:rPr>
                <w:b/>
                <w:bCs/>
              </w:rPr>
            </w:pPr>
            <w:r>
              <w:rPr>
                <w:rFonts w:hint="eastAsia"/>
                <w:b/>
                <w:bCs/>
                <w:lang w:val="en-US" w:eastAsia="zh-CN"/>
              </w:rPr>
              <w:t>100</w:t>
            </w:r>
            <w:r>
              <w:rPr>
                <w:rFonts w:hint="eastAsia"/>
                <w:b/>
                <w:bCs/>
              </w:rPr>
              <w:t>分</w:t>
            </w:r>
          </w:p>
        </w:tc>
        <w:tc>
          <w:tcPr>
            <w:tcW w:w="5386" w:type="dxa"/>
            <w:vAlign w:val="center"/>
          </w:tcPr>
          <w:p>
            <w:pPr>
              <w:jc w:val="center"/>
              <w:rPr>
                <w:b/>
                <w:bCs/>
              </w:rPr>
            </w:pPr>
          </w:p>
        </w:tc>
        <w:tc>
          <w:tcPr>
            <w:tcW w:w="3872" w:type="dxa"/>
            <w:vAlign w:val="center"/>
          </w:tcPr>
          <w:p>
            <w:pPr>
              <w:jc w:val="center"/>
              <w:rPr>
                <w:b/>
                <w:bCs/>
              </w:rPr>
            </w:pPr>
          </w:p>
        </w:tc>
      </w:tr>
    </w:tbl>
    <w:p>
      <w:pPr>
        <w:adjustRightInd w:val="0"/>
        <w:snapToGrid w:val="0"/>
        <w:spacing w:line="360" w:lineRule="auto"/>
        <w:rPr>
          <w:rFonts w:cs="华文中宋" w:asciiTheme="minorEastAsia" w:hAnsiTheme="minorEastAsia"/>
          <w:b/>
          <w:color w:val="000000" w:themeColor="text1"/>
          <w:sz w:val="24"/>
          <w:szCs w:val="24"/>
          <w14:textFill>
            <w14:solidFill>
              <w14:schemeClr w14:val="tx1"/>
            </w14:solidFill>
          </w14:textFill>
        </w:rPr>
      </w:pPr>
    </w:p>
    <w:p>
      <w:pPr>
        <w:adjustRightInd w:val="0"/>
        <w:snapToGrid w:val="0"/>
        <w:spacing w:line="360" w:lineRule="auto"/>
        <w:rPr>
          <w:rFonts w:cs="华文中宋" w:asciiTheme="minorEastAsia" w:hAnsiTheme="minorEastAsia"/>
          <w:b/>
          <w:color w:val="000000" w:themeColor="text1"/>
          <w:sz w:val="24"/>
          <w:szCs w:val="24"/>
          <w14:textFill>
            <w14:solidFill>
              <w14:schemeClr w14:val="tx1"/>
            </w14:solidFill>
          </w14:textFill>
        </w:rPr>
      </w:pPr>
    </w:p>
    <w:p>
      <w:pPr>
        <w:adjustRightInd w:val="0"/>
        <w:snapToGrid w:val="0"/>
        <w:spacing w:line="360" w:lineRule="auto"/>
        <w:rPr>
          <w:rFonts w:cs="华文中宋" w:asciiTheme="minorEastAsia" w:hAnsiTheme="minorEastAsia"/>
          <w:b/>
          <w:color w:val="000000" w:themeColor="text1"/>
          <w:sz w:val="24"/>
          <w:szCs w:val="24"/>
          <w14:textFill>
            <w14:solidFill>
              <w14:schemeClr w14:val="tx1"/>
            </w14:solidFill>
          </w14:textFill>
        </w:rPr>
      </w:pPr>
    </w:p>
    <w:p>
      <w:pPr>
        <w:adjustRightInd w:val="0"/>
        <w:snapToGrid w:val="0"/>
        <w:spacing w:line="360" w:lineRule="auto"/>
        <w:rPr>
          <w:rFonts w:cs="华文中宋" w:asciiTheme="minorEastAsia" w:hAnsiTheme="minorEastAsia"/>
          <w:b/>
          <w:color w:val="000000" w:themeColor="text1"/>
          <w:sz w:val="24"/>
          <w:szCs w:val="24"/>
          <w14:textFill>
            <w14:solidFill>
              <w14:schemeClr w14:val="tx1"/>
            </w14:solidFill>
          </w14:textFill>
        </w:rPr>
      </w:pPr>
    </w:p>
    <w:p>
      <w:pPr>
        <w:adjustRightInd w:val="0"/>
        <w:snapToGrid w:val="0"/>
        <w:spacing w:line="360" w:lineRule="auto"/>
        <w:rPr>
          <w:rFonts w:cs="华文中宋" w:asciiTheme="minorEastAsia" w:hAnsiTheme="minorEastAsia"/>
          <w:b/>
          <w:color w:val="000000" w:themeColor="text1"/>
          <w:sz w:val="24"/>
          <w:szCs w:val="24"/>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6838" w:h="11906" w:orient="landscape"/>
          <w:pgMar w:top="1418" w:right="1134" w:bottom="1418" w:left="1134" w:header="851" w:footer="992" w:gutter="0"/>
          <w:cols w:space="425" w:num="1"/>
          <w:docGrid w:type="lines" w:linePitch="312" w:charSpace="0"/>
        </w:sectPr>
      </w:pPr>
    </w:p>
    <w:p>
      <w:pPr>
        <w:adjustRightInd w:val="0"/>
        <w:snapToGrid w:val="0"/>
        <w:spacing w:line="360" w:lineRule="auto"/>
        <w:jc w:val="center"/>
        <w:rPr>
          <w:rFonts w:ascii="黑体" w:hAnsi="黑体" w:eastAsia="黑体" w:cs="黑体"/>
          <w:sz w:val="36"/>
          <w:szCs w:val="36"/>
        </w:rPr>
      </w:pPr>
      <w:r>
        <w:rPr>
          <w:rFonts w:hint="eastAsia" w:ascii="黑体" w:hAnsi="黑体" w:eastAsia="黑体" w:cs="黑体"/>
          <w:bCs/>
          <w:color w:val="000000" w:themeColor="text1"/>
          <w:sz w:val="36"/>
          <w:szCs w:val="36"/>
          <w14:textFill>
            <w14:solidFill>
              <w14:schemeClr w14:val="tx1"/>
            </w14:solidFill>
          </w14:textFill>
        </w:rPr>
        <w:t>品牌展会指标体系相关术语释义</w:t>
      </w:r>
    </w:p>
    <w:p>
      <w:pPr>
        <w:widowControl/>
        <w:spacing w:line="520" w:lineRule="exact"/>
        <w:ind w:firstLine="600" w:firstLineChars="200"/>
        <w:rPr>
          <w:rFonts w:ascii="仿宋_GB2312" w:eastAsia="仿宋_GB2312" w:cs="宋体" w:hAnsiTheme="minorEastAsia"/>
          <w:kern w:val="0"/>
          <w:sz w:val="30"/>
          <w:szCs w:val="30"/>
        </w:rPr>
      </w:pPr>
      <w:r>
        <w:rPr>
          <w:rFonts w:hint="eastAsia" w:ascii="仿宋_GB2312" w:eastAsia="仿宋_GB2312" w:cs="宋体" w:hAnsiTheme="minorEastAsia"/>
          <w:kern w:val="0"/>
          <w:sz w:val="30"/>
          <w:szCs w:val="30"/>
        </w:rPr>
        <w:t>根据展览项目专业性特点和发展规律，建立相应的基础性指标和公共性指标，具体相关术语释义如下：</w:t>
      </w:r>
    </w:p>
    <w:p>
      <w:pPr>
        <w:widowControl/>
        <w:spacing w:line="520" w:lineRule="exact"/>
        <w:ind w:firstLine="300" w:firstLineChars="100"/>
        <w:rPr>
          <w:rFonts w:hint="eastAsia" w:ascii="仿宋_GB2312" w:eastAsia="仿宋_GB2312" w:cs="宋体" w:hAnsiTheme="minorEastAsia"/>
          <w:kern w:val="0"/>
          <w:sz w:val="30"/>
          <w:szCs w:val="30"/>
        </w:rPr>
      </w:pPr>
      <w:r>
        <w:rPr>
          <w:rFonts w:hint="eastAsia" w:ascii="仿宋_GB2312" w:eastAsia="仿宋_GB2312" w:cs="宋体" w:hAnsiTheme="minorEastAsia"/>
          <w:kern w:val="0"/>
          <w:sz w:val="30"/>
          <w:szCs w:val="30"/>
        </w:rPr>
        <w:t xml:space="preserve"> </w:t>
      </w:r>
      <w:r>
        <w:rPr>
          <w:rFonts w:hint="eastAsia" w:ascii="仿宋_GB2312" w:eastAsia="仿宋_GB2312" w:cs="宋体" w:hAnsiTheme="minorEastAsia"/>
          <w:kern w:val="0"/>
          <w:sz w:val="30"/>
          <w:szCs w:val="30"/>
          <w:lang w:val="en-US" w:eastAsia="zh-CN"/>
        </w:rPr>
        <w:t xml:space="preserve"> </w:t>
      </w:r>
      <w:r>
        <w:rPr>
          <w:rFonts w:hint="eastAsia" w:ascii="仿宋_GB2312" w:eastAsia="仿宋_GB2312" w:cs="宋体" w:hAnsiTheme="minorEastAsia"/>
          <w:kern w:val="0"/>
          <w:sz w:val="30"/>
          <w:szCs w:val="30"/>
        </w:rPr>
        <w:t>1.展会：指展览会，</w:t>
      </w:r>
      <w:r>
        <w:rPr>
          <w:rFonts w:hint="eastAsia" w:ascii="仿宋_GB2312" w:eastAsia="仿宋_GB2312" w:cs="宋体" w:hAnsiTheme="minorEastAsia"/>
          <w:kern w:val="0"/>
          <w:sz w:val="30"/>
          <w:szCs w:val="30"/>
          <w:lang w:eastAsia="zh-CN"/>
        </w:rPr>
        <w:t>指</w:t>
      </w:r>
      <w:r>
        <w:rPr>
          <w:rFonts w:hint="eastAsia" w:ascii="仿宋_GB2312" w:eastAsia="仿宋_GB2312" w:cs="宋体" w:hAnsiTheme="minorEastAsia"/>
          <w:kern w:val="0"/>
          <w:sz w:val="30"/>
          <w:szCs w:val="30"/>
        </w:rPr>
        <w:t>在展馆里举办的，以产品、技术、服务的展示、参观、洽谈、投资贸易和信息交流为主要目标的，</w:t>
      </w:r>
      <w:r>
        <w:rPr>
          <w:rFonts w:hint="eastAsia" w:ascii="仿宋_GB2312" w:eastAsia="仿宋_GB2312" w:cs="宋体" w:hAnsiTheme="minorEastAsia"/>
          <w:kern w:val="0"/>
          <w:sz w:val="30"/>
          <w:szCs w:val="30"/>
          <w:lang w:eastAsia="zh-CN"/>
        </w:rPr>
        <w:t>由</w:t>
      </w:r>
      <w:r>
        <w:rPr>
          <w:rFonts w:hint="eastAsia" w:ascii="仿宋_GB2312" w:eastAsia="仿宋_GB2312" w:cs="宋体" w:hAnsiTheme="minorEastAsia"/>
          <w:kern w:val="0"/>
          <w:sz w:val="30"/>
          <w:szCs w:val="30"/>
        </w:rPr>
        <w:t>多人</w:t>
      </w:r>
      <w:r>
        <w:rPr>
          <w:rFonts w:hint="eastAsia" w:ascii="仿宋_GB2312" w:eastAsia="仿宋_GB2312" w:cs="宋体" w:hAnsiTheme="minorEastAsia"/>
          <w:kern w:val="0"/>
          <w:sz w:val="30"/>
          <w:szCs w:val="30"/>
          <w:lang w:eastAsia="zh-CN"/>
        </w:rPr>
        <w:t>、多方</w:t>
      </w:r>
      <w:r>
        <w:rPr>
          <w:rFonts w:hint="eastAsia" w:ascii="仿宋_GB2312" w:eastAsia="仿宋_GB2312" w:cs="宋体" w:hAnsiTheme="minorEastAsia"/>
          <w:kern w:val="0"/>
          <w:sz w:val="30"/>
          <w:szCs w:val="30"/>
        </w:rPr>
        <w:t>参与的群众性活动。各类商品展销会、人才招聘会、画展、节庆、文体赛事活动等不纳入本评价体系范畴内。</w:t>
      </w:r>
    </w:p>
    <w:p>
      <w:pPr>
        <w:widowControl/>
        <w:spacing w:line="520" w:lineRule="exact"/>
        <w:ind w:firstLine="600" w:firstLineChars="200"/>
        <w:rPr>
          <w:rFonts w:hint="eastAsia" w:ascii="仿宋_GB2312" w:eastAsia="仿宋_GB2312" w:cs="宋体" w:hAnsiTheme="minorEastAsia"/>
          <w:kern w:val="0"/>
          <w:sz w:val="30"/>
          <w:szCs w:val="30"/>
          <w:lang w:val="en-US" w:eastAsia="zh-CN"/>
        </w:rPr>
      </w:pPr>
      <w:r>
        <w:rPr>
          <w:rFonts w:hint="eastAsia" w:ascii="仿宋_GB2312" w:eastAsia="仿宋_GB2312" w:cs="宋体" w:hAnsiTheme="minorEastAsia"/>
          <w:kern w:val="0"/>
          <w:sz w:val="30"/>
          <w:szCs w:val="30"/>
          <w:lang w:val="en-US" w:eastAsia="zh-CN"/>
        </w:rPr>
        <w:t>2.展览总面积。展览组织单位租赁展馆室内外并实际用于展览活动的所有场地面积，不含单独租赁的会议室、办公区、仓储区的面积。</w:t>
      </w:r>
    </w:p>
    <w:p>
      <w:pPr>
        <w:widowControl/>
        <w:spacing w:line="520" w:lineRule="exact"/>
        <w:ind w:firstLine="600" w:firstLineChars="200"/>
        <w:rPr>
          <w:rFonts w:hint="eastAsia" w:ascii="仿宋_GB2312" w:eastAsia="仿宋_GB2312" w:cs="宋体" w:hAnsiTheme="minorEastAsia"/>
          <w:kern w:val="0"/>
          <w:sz w:val="30"/>
          <w:szCs w:val="30"/>
          <w:lang w:eastAsia="zh-CN"/>
        </w:rPr>
      </w:pPr>
      <w:r>
        <w:rPr>
          <w:rFonts w:hint="eastAsia" w:ascii="仿宋_GB2312" w:eastAsia="仿宋_GB2312" w:cs="宋体" w:hAnsiTheme="minorEastAsia"/>
          <w:kern w:val="0"/>
          <w:sz w:val="30"/>
          <w:szCs w:val="30"/>
        </w:rPr>
        <w:t>3.境外参展</w:t>
      </w:r>
      <w:r>
        <w:rPr>
          <w:rFonts w:hint="eastAsia" w:ascii="仿宋_GB2312" w:eastAsia="仿宋_GB2312" w:cs="宋体" w:hAnsiTheme="minorEastAsia"/>
          <w:kern w:val="0"/>
          <w:sz w:val="30"/>
          <w:szCs w:val="30"/>
          <w:lang w:eastAsia="zh-CN"/>
        </w:rPr>
        <w:t>商</w:t>
      </w:r>
      <w:r>
        <w:rPr>
          <w:rFonts w:hint="eastAsia" w:ascii="仿宋_GB2312" w:eastAsia="仿宋_GB2312" w:cs="宋体" w:hAnsiTheme="minorEastAsia"/>
          <w:kern w:val="0"/>
          <w:sz w:val="30"/>
          <w:szCs w:val="30"/>
        </w:rPr>
        <w:t>：</w:t>
      </w:r>
      <w:r>
        <w:rPr>
          <w:rFonts w:hint="eastAsia" w:ascii="仿宋_GB2312" w:eastAsia="仿宋_GB2312" w:cs="宋体" w:hAnsiTheme="minorEastAsia"/>
          <w:kern w:val="0"/>
          <w:sz w:val="30"/>
          <w:szCs w:val="30"/>
          <w:lang w:eastAsia="zh-CN"/>
        </w:rPr>
        <w:t>注册地在中华人民共和国境外</w:t>
      </w:r>
      <w:r>
        <w:rPr>
          <w:rFonts w:hint="eastAsia" w:ascii="仿宋_GB2312" w:eastAsia="仿宋_GB2312" w:cs="宋体" w:hAnsiTheme="minorEastAsia"/>
          <w:sz w:val="30"/>
          <w:szCs w:val="30"/>
          <w:lang w:eastAsia="zh-CN"/>
        </w:rPr>
        <w:t>（含港澳台）</w:t>
      </w:r>
      <w:r>
        <w:rPr>
          <w:rFonts w:hint="eastAsia" w:ascii="仿宋_GB2312" w:eastAsia="仿宋_GB2312" w:cs="宋体" w:hAnsiTheme="minorEastAsia"/>
          <w:kern w:val="0"/>
          <w:sz w:val="30"/>
          <w:szCs w:val="30"/>
          <w:lang w:eastAsia="zh-CN"/>
        </w:rPr>
        <w:t>的参展商。</w:t>
      </w:r>
    </w:p>
    <w:p>
      <w:pPr>
        <w:widowControl/>
        <w:spacing w:line="520" w:lineRule="exact"/>
        <w:ind w:firstLine="600" w:firstLineChars="200"/>
        <w:rPr>
          <w:rFonts w:hint="eastAsia" w:ascii="仿宋_GB2312" w:eastAsia="仿宋_GB2312" w:cs="宋体" w:hAnsiTheme="minorEastAsia"/>
          <w:kern w:val="0"/>
          <w:sz w:val="30"/>
          <w:szCs w:val="30"/>
          <w:lang w:eastAsia="zh-CN"/>
        </w:rPr>
      </w:pPr>
      <w:r>
        <w:rPr>
          <w:rFonts w:hint="eastAsia" w:ascii="仿宋_GB2312" w:eastAsia="仿宋_GB2312" w:cs="宋体" w:hAnsiTheme="minorEastAsia"/>
          <w:kern w:val="0"/>
          <w:sz w:val="30"/>
          <w:szCs w:val="30"/>
          <w:lang w:val="en-US" w:eastAsia="zh-CN"/>
        </w:rPr>
        <w:t>4.</w:t>
      </w:r>
      <w:r>
        <w:rPr>
          <w:rFonts w:hint="eastAsia"/>
          <w:lang w:eastAsia="zh-CN"/>
        </w:rPr>
        <w:t>省外企业参展面积占比：</w:t>
      </w:r>
      <w:r>
        <w:rPr>
          <w:rFonts w:hint="eastAsia" w:ascii="仿宋_GB2312" w:eastAsia="仿宋_GB2312" w:cs="宋体" w:hAnsiTheme="minorEastAsia"/>
          <w:kern w:val="0"/>
          <w:sz w:val="30"/>
          <w:szCs w:val="30"/>
          <w:lang w:eastAsia="zh-CN"/>
        </w:rPr>
        <w:t>注册地在中华人民共和国境内、广东省之外的参展企业展台面积占展览净面积的比例。</w:t>
      </w:r>
    </w:p>
    <w:p>
      <w:pPr>
        <w:widowControl/>
        <w:spacing w:line="520" w:lineRule="exact"/>
        <w:ind w:firstLine="600" w:firstLineChars="200"/>
        <w:rPr>
          <w:rFonts w:hint="default" w:ascii="仿宋_GB2312" w:eastAsia="仿宋_GB2312" w:cs="宋体" w:hAnsiTheme="minorEastAsia"/>
          <w:kern w:val="0"/>
          <w:sz w:val="30"/>
          <w:szCs w:val="30"/>
          <w:lang w:val="en-US" w:eastAsia="zh-CN"/>
        </w:rPr>
      </w:pPr>
      <w:r>
        <w:rPr>
          <w:rFonts w:hint="eastAsia" w:ascii="仿宋_GB2312" w:eastAsia="仿宋_GB2312" w:cs="宋体" w:hAnsiTheme="minorEastAsia"/>
          <w:kern w:val="0"/>
          <w:sz w:val="30"/>
          <w:szCs w:val="30"/>
          <w:lang w:val="en-US" w:eastAsia="zh-CN"/>
        </w:rPr>
        <w:t>5.展览净面积。参展商根据参展合同有偿使用的展台面积总和，赠送展台以及主办方的展台不在统计之列。</w:t>
      </w:r>
    </w:p>
    <w:p>
      <w:pPr>
        <w:widowControl/>
        <w:spacing w:line="520" w:lineRule="exact"/>
        <w:ind w:firstLine="600" w:firstLineChars="200"/>
        <w:rPr>
          <w:rFonts w:ascii="仿宋_GB2312" w:eastAsia="仿宋_GB2312" w:cs="宋体" w:hAnsiTheme="minorEastAsia"/>
          <w:kern w:val="0"/>
          <w:sz w:val="30"/>
          <w:szCs w:val="30"/>
        </w:rPr>
      </w:pPr>
      <w:r>
        <w:rPr>
          <w:rFonts w:hint="eastAsia" w:ascii="仿宋_GB2312" w:eastAsia="仿宋_GB2312" w:cs="宋体" w:hAnsiTheme="minorEastAsia"/>
          <w:kern w:val="0"/>
          <w:sz w:val="30"/>
          <w:szCs w:val="30"/>
          <w:lang w:val="en-US" w:eastAsia="zh-CN"/>
        </w:rPr>
        <w:t>6.</w:t>
      </w:r>
      <w:r>
        <w:rPr>
          <w:rFonts w:hint="eastAsia" w:ascii="仿宋_GB2312" w:eastAsia="仿宋_GB2312" w:cs="宋体" w:hAnsiTheme="minorEastAsia"/>
          <w:kern w:val="0"/>
          <w:sz w:val="30"/>
          <w:szCs w:val="30"/>
        </w:rPr>
        <w:t>专业观众</w:t>
      </w:r>
      <w:r>
        <w:rPr>
          <w:rFonts w:hint="eastAsia" w:ascii="仿宋_GB2312" w:eastAsia="仿宋_GB2312" w:cs="宋体" w:hAnsiTheme="minorEastAsia"/>
          <w:kern w:val="0"/>
          <w:sz w:val="30"/>
          <w:szCs w:val="30"/>
          <w:lang w:eastAsia="zh-CN"/>
        </w:rPr>
        <w:t>人数</w:t>
      </w:r>
      <w:r>
        <w:rPr>
          <w:rFonts w:hint="eastAsia" w:ascii="仿宋_GB2312" w:eastAsia="仿宋_GB2312" w:cs="宋体" w:hAnsiTheme="minorEastAsia"/>
          <w:kern w:val="0"/>
          <w:sz w:val="30"/>
          <w:szCs w:val="30"/>
        </w:rPr>
        <w:t>：展览会期间，出于收集信息、采购洽谈、联络参展商等专业或商业目的参</w:t>
      </w:r>
      <w:r>
        <w:rPr>
          <w:rFonts w:hint="eastAsia" w:ascii="仿宋_GB2312" w:eastAsia="仿宋_GB2312" w:cs="宋体" w:hAnsiTheme="minorEastAsia"/>
          <w:kern w:val="0"/>
          <w:sz w:val="30"/>
          <w:szCs w:val="30"/>
          <w:lang w:eastAsia="zh-CN"/>
        </w:rPr>
        <w:t>加展览会</w:t>
      </w:r>
      <w:r>
        <w:rPr>
          <w:rFonts w:hint="eastAsia" w:ascii="仿宋_GB2312" w:eastAsia="仿宋_GB2312" w:cs="宋体" w:hAnsiTheme="minorEastAsia"/>
          <w:kern w:val="0"/>
          <w:sz w:val="30"/>
          <w:szCs w:val="30"/>
        </w:rPr>
        <w:t>的观众</w:t>
      </w:r>
      <w:r>
        <w:rPr>
          <w:rFonts w:hint="eastAsia" w:ascii="仿宋_GB2312" w:eastAsia="仿宋_GB2312" w:cs="宋体" w:hAnsiTheme="minorEastAsia"/>
          <w:kern w:val="0"/>
          <w:sz w:val="30"/>
          <w:szCs w:val="30"/>
          <w:lang w:eastAsia="zh-CN"/>
        </w:rPr>
        <w:t>数量，多次观展只能被计入一次</w:t>
      </w:r>
      <w:r>
        <w:rPr>
          <w:rFonts w:hint="eastAsia" w:ascii="仿宋_GB2312" w:eastAsia="仿宋_GB2312" w:cs="宋体" w:hAnsiTheme="minorEastAsia"/>
          <w:kern w:val="0"/>
          <w:sz w:val="30"/>
          <w:szCs w:val="30"/>
        </w:rPr>
        <w:t>。</w:t>
      </w:r>
    </w:p>
    <w:p>
      <w:pPr>
        <w:widowControl/>
        <w:spacing w:line="520" w:lineRule="exact"/>
        <w:ind w:firstLine="600" w:firstLineChars="200"/>
        <w:rPr>
          <w:rFonts w:ascii="仿宋_GB2312" w:eastAsia="仿宋_GB2312" w:cs="宋体" w:hAnsiTheme="minorEastAsia"/>
          <w:kern w:val="0"/>
          <w:sz w:val="30"/>
          <w:szCs w:val="30"/>
        </w:rPr>
      </w:pPr>
      <w:r>
        <w:rPr>
          <w:rFonts w:hint="eastAsia" w:ascii="仿宋_GB2312" w:eastAsia="仿宋_GB2312" w:cs="宋体" w:hAnsiTheme="minorEastAsia"/>
          <w:kern w:val="0"/>
          <w:sz w:val="30"/>
          <w:szCs w:val="30"/>
          <w:lang w:val="en-US" w:eastAsia="zh-CN"/>
        </w:rPr>
        <w:t>7</w:t>
      </w:r>
      <w:r>
        <w:rPr>
          <w:rFonts w:hint="eastAsia" w:ascii="仿宋_GB2312" w:eastAsia="仿宋_GB2312" w:cs="宋体" w:hAnsiTheme="minorEastAsia"/>
          <w:kern w:val="0"/>
          <w:sz w:val="30"/>
          <w:szCs w:val="30"/>
        </w:rPr>
        <w:t>.境外专业观众</w:t>
      </w:r>
      <w:r>
        <w:rPr>
          <w:rFonts w:hint="eastAsia" w:ascii="仿宋_GB2312" w:eastAsia="仿宋_GB2312" w:cs="宋体" w:hAnsiTheme="minorEastAsia"/>
          <w:kern w:val="0"/>
          <w:sz w:val="30"/>
          <w:szCs w:val="30"/>
          <w:lang w:eastAsia="zh-CN"/>
        </w:rPr>
        <w:t>人数</w:t>
      </w:r>
      <w:r>
        <w:rPr>
          <w:rFonts w:hint="eastAsia" w:ascii="仿宋_GB2312" w:eastAsia="仿宋_GB2312" w:cs="宋体" w:hAnsiTheme="minorEastAsia"/>
          <w:kern w:val="0"/>
          <w:sz w:val="30"/>
          <w:szCs w:val="30"/>
        </w:rPr>
        <w:t>：</w:t>
      </w:r>
      <w:r>
        <w:rPr>
          <w:rFonts w:hint="eastAsia" w:ascii="仿宋_GB2312" w:eastAsia="仿宋_GB2312" w:cs="宋体" w:hAnsiTheme="minorEastAsia"/>
          <w:sz w:val="30"/>
          <w:szCs w:val="30"/>
        </w:rPr>
        <w:t>登记且有效的通信地址或身份证明为境外</w:t>
      </w:r>
      <w:r>
        <w:rPr>
          <w:rFonts w:hint="eastAsia" w:ascii="仿宋_GB2312" w:eastAsia="仿宋_GB2312" w:cs="宋体" w:hAnsiTheme="minorEastAsia"/>
          <w:sz w:val="30"/>
          <w:szCs w:val="30"/>
          <w:lang w:eastAsia="zh-CN"/>
        </w:rPr>
        <w:t>（含港澳台）</w:t>
      </w:r>
      <w:r>
        <w:rPr>
          <w:rFonts w:hint="eastAsia" w:ascii="仿宋_GB2312" w:eastAsia="仿宋_GB2312" w:cs="宋体" w:hAnsiTheme="minorEastAsia"/>
          <w:sz w:val="30"/>
          <w:szCs w:val="30"/>
        </w:rPr>
        <w:t>的专业观众</w:t>
      </w:r>
      <w:r>
        <w:rPr>
          <w:rFonts w:hint="eastAsia" w:ascii="仿宋_GB2312" w:eastAsia="仿宋_GB2312" w:cs="宋体" w:hAnsiTheme="minorEastAsia"/>
          <w:sz w:val="30"/>
          <w:szCs w:val="30"/>
          <w:lang w:eastAsia="zh-CN"/>
        </w:rPr>
        <w:t>数量，</w:t>
      </w:r>
      <w:r>
        <w:rPr>
          <w:rFonts w:hint="eastAsia" w:ascii="仿宋_GB2312" w:eastAsia="仿宋_GB2312" w:cs="宋体" w:hAnsiTheme="minorEastAsia"/>
          <w:kern w:val="0"/>
          <w:sz w:val="30"/>
          <w:szCs w:val="30"/>
          <w:lang w:eastAsia="zh-CN"/>
        </w:rPr>
        <w:t>多次观展只能被计入一次</w:t>
      </w:r>
      <w:r>
        <w:rPr>
          <w:rFonts w:hint="eastAsia" w:ascii="仿宋_GB2312" w:eastAsia="仿宋_GB2312" w:cs="宋体" w:hAnsiTheme="minorEastAsia"/>
          <w:kern w:val="0"/>
          <w:sz w:val="30"/>
          <w:szCs w:val="30"/>
        </w:rPr>
        <w:t>。</w:t>
      </w:r>
    </w:p>
    <w:p>
      <w:pPr>
        <w:spacing w:line="520" w:lineRule="exact"/>
        <w:ind w:firstLine="600" w:firstLineChars="200"/>
        <w:rPr>
          <w:rFonts w:ascii="仿宋_GB2312" w:eastAsia="仿宋_GB2312" w:cs="仿宋" w:hAnsiTheme="minorEastAsia"/>
          <w:sz w:val="30"/>
          <w:szCs w:val="30"/>
        </w:rPr>
      </w:pPr>
      <w:r>
        <w:rPr>
          <w:rFonts w:hint="eastAsia" w:ascii="仿宋_GB2312" w:eastAsia="仿宋_GB2312" w:cs="宋体" w:hAnsiTheme="minorEastAsia"/>
          <w:kern w:val="0"/>
          <w:sz w:val="30"/>
          <w:szCs w:val="30"/>
          <w:lang w:val="en-US" w:eastAsia="zh-CN"/>
        </w:rPr>
        <w:t>8</w:t>
      </w:r>
      <w:r>
        <w:rPr>
          <w:rFonts w:hint="eastAsia" w:ascii="仿宋_GB2312" w:eastAsia="仿宋_GB2312" w:cs="宋体" w:hAnsiTheme="minorEastAsia"/>
          <w:kern w:val="0"/>
          <w:sz w:val="30"/>
          <w:szCs w:val="30"/>
        </w:rPr>
        <w:t>.</w:t>
      </w:r>
      <w:r>
        <w:rPr>
          <w:rFonts w:hint="eastAsia" w:ascii="仿宋_GB2312" w:eastAsia="仿宋_GB2312" w:cs="仿宋" w:hAnsiTheme="minorEastAsia"/>
          <w:sz w:val="30"/>
          <w:szCs w:val="30"/>
          <w:lang w:eastAsia="zh-CN"/>
        </w:rPr>
        <w:t>专业</w:t>
      </w:r>
      <w:r>
        <w:rPr>
          <w:rFonts w:hint="eastAsia" w:ascii="仿宋_GB2312" w:eastAsia="仿宋_GB2312" w:cs="仿宋" w:hAnsiTheme="minorEastAsia"/>
          <w:sz w:val="30"/>
          <w:szCs w:val="30"/>
        </w:rPr>
        <w:t>活动：是指围绕展会，为提升展会品牌、品质，引领行业发展趋势等策划、举办的各类论坛、会议、培训、赛事、新技术或新产品发布会、研讨会等。</w:t>
      </w:r>
    </w:p>
    <w:p>
      <w:pPr>
        <w:keepNext w:val="0"/>
        <w:keepLines w:val="0"/>
        <w:widowControl/>
        <w:suppressLineNumbers w:val="0"/>
        <w:spacing w:line="520" w:lineRule="exact"/>
        <w:ind w:firstLine="600" w:firstLineChars="200"/>
        <w:jc w:val="left"/>
        <w:rPr>
          <w:rFonts w:hint="eastAsia" w:ascii="仿宋_GB2312" w:eastAsia="仿宋_GB2312" w:cs="仿宋" w:hAnsiTheme="minorEastAsia"/>
          <w:i w:val="0"/>
          <w:caps w:val="0"/>
          <w:spacing w:val="0"/>
          <w:kern w:val="2"/>
          <w:sz w:val="30"/>
          <w:szCs w:val="30"/>
          <w:shd w:val="clear"/>
          <w:lang w:val="en-US" w:eastAsia="zh-CN" w:bidi="ar"/>
        </w:rPr>
      </w:pPr>
      <w:r>
        <w:rPr>
          <w:rFonts w:hint="eastAsia" w:ascii="仿宋_GB2312" w:eastAsia="仿宋_GB2312" w:cs="仿宋" w:hAnsiTheme="minorEastAsia"/>
          <w:kern w:val="2"/>
          <w:sz w:val="30"/>
          <w:szCs w:val="30"/>
          <w:lang w:val="en-US" w:eastAsia="zh-CN"/>
        </w:rPr>
        <w:t>9.</w:t>
      </w:r>
      <w:r>
        <w:rPr>
          <w:rFonts w:hint="eastAsia" w:ascii="仿宋_GB2312" w:eastAsia="仿宋_GB2312" w:cs="仿宋" w:hAnsiTheme="minorEastAsia"/>
          <w:i w:val="0"/>
          <w:caps w:val="0"/>
          <w:spacing w:val="0"/>
          <w:kern w:val="2"/>
          <w:sz w:val="30"/>
          <w:szCs w:val="30"/>
          <w:shd w:val="clear"/>
          <w:lang w:val="en-US" w:eastAsia="zh-CN" w:bidi="ar"/>
        </w:rPr>
        <w:t>毛利率（Gross Profit Margin）是毛利与展览会经营收入的百分比，其中，毛利是展览会经营收入与展览会经营成本之间的差额，用公式表示：毛利率=毛利/展览会经营收入×100%=（</w:t>
      </w:r>
      <w:r>
        <w:rPr>
          <w:rFonts w:hint="eastAsia" w:ascii="仿宋_GB2312" w:eastAsia="仿宋_GB2312" w:cs="仿宋" w:hAnsiTheme="minorEastAsia"/>
          <w:i w:val="0"/>
          <w:caps w:val="0"/>
          <w:spacing w:val="0"/>
          <w:kern w:val="2"/>
          <w:sz w:val="30"/>
          <w:szCs w:val="30"/>
          <w:u w:val="none"/>
          <w:shd w:val="clear"/>
          <w:lang w:val="en-US" w:eastAsia="zh-CN" w:bidi="ar"/>
        </w:rPr>
        <w:fldChar w:fldCharType="begin"/>
      </w:r>
      <w:r>
        <w:rPr>
          <w:rFonts w:hint="eastAsia" w:ascii="仿宋_GB2312" w:eastAsia="仿宋_GB2312" w:cs="仿宋" w:hAnsiTheme="minorEastAsia"/>
          <w:i w:val="0"/>
          <w:caps w:val="0"/>
          <w:spacing w:val="0"/>
          <w:kern w:val="2"/>
          <w:sz w:val="30"/>
          <w:szCs w:val="30"/>
          <w:u w:val="none"/>
          <w:shd w:val="clear"/>
          <w:lang w:val="en-US" w:eastAsia="zh-CN" w:bidi="ar"/>
        </w:rPr>
        <w:instrText xml:space="preserve"> HYPERLINK "https://baike.baidu.com/item/%E4%B8%BB%E8%90%A5%E4%B8%9A%E5%8A%A1%E6%94%B6%E5%85%A5/11055134?fromModule=lemma_inlink" \t "/home/uos/Documents\\x/_blank" </w:instrText>
      </w:r>
      <w:r>
        <w:rPr>
          <w:rFonts w:hint="eastAsia" w:ascii="仿宋_GB2312" w:eastAsia="仿宋_GB2312" w:cs="仿宋" w:hAnsiTheme="minorEastAsia"/>
          <w:i w:val="0"/>
          <w:caps w:val="0"/>
          <w:spacing w:val="0"/>
          <w:kern w:val="2"/>
          <w:sz w:val="30"/>
          <w:szCs w:val="30"/>
          <w:u w:val="none"/>
          <w:shd w:val="clear"/>
          <w:lang w:val="en-US" w:eastAsia="zh-CN" w:bidi="ar"/>
        </w:rPr>
        <w:fldChar w:fldCharType="separate"/>
      </w:r>
      <w:r>
        <w:rPr>
          <w:rFonts w:hint="eastAsia" w:ascii="仿宋_GB2312" w:eastAsia="仿宋_GB2312" w:cs="仿宋" w:hAnsiTheme="minorEastAsia"/>
          <w:i w:val="0"/>
          <w:caps w:val="0"/>
          <w:spacing w:val="0"/>
          <w:kern w:val="2"/>
          <w:sz w:val="30"/>
          <w:szCs w:val="30"/>
          <w:shd w:val="clear"/>
          <w:lang w:val="en-US" w:eastAsia="zh-CN" w:bidi="ar"/>
        </w:rPr>
        <w:t>展览会经营收入</w:t>
      </w:r>
      <w:r>
        <w:rPr>
          <w:rFonts w:hint="eastAsia" w:ascii="仿宋_GB2312" w:eastAsia="仿宋_GB2312" w:cs="仿宋" w:hAnsiTheme="minorEastAsia"/>
          <w:i w:val="0"/>
          <w:caps w:val="0"/>
          <w:spacing w:val="0"/>
          <w:kern w:val="2"/>
          <w:sz w:val="30"/>
          <w:szCs w:val="30"/>
          <w:u w:val="none"/>
          <w:shd w:val="clear"/>
          <w:lang w:val="en-US" w:eastAsia="zh-CN" w:bidi="ar"/>
        </w:rPr>
        <w:fldChar w:fldCharType="end"/>
      </w:r>
      <w:r>
        <w:rPr>
          <w:rFonts w:hint="eastAsia" w:ascii="仿宋_GB2312" w:eastAsia="仿宋_GB2312" w:cs="仿宋" w:hAnsiTheme="minorEastAsia"/>
          <w:i w:val="0"/>
          <w:caps w:val="0"/>
          <w:spacing w:val="0"/>
          <w:kern w:val="2"/>
          <w:sz w:val="30"/>
          <w:szCs w:val="30"/>
          <w:shd w:val="clear"/>
          <w:lang w:val="en-US" w:eastAsia="zh-CN" w:bidi="ar"/>
        </w:rPr>
        <w:t>-展览会经营成本）/主营业务收入×100%。</w:t>
      </w:r>
    </w:p>
    <w:p>
      <w:pPr>
        <w:keepNext w:val="0"/>
        <w:keepLines w:val="0"/>
        <w:widowControl/>
        <w:suppressLineNumbers w:val="0"/>
        <w:spacing w:line="520" w:lineRule="exact"/>
        <w:ind w:firstLine="600" w:firstLineChars="200"/>
        <w:jc w:val="left"/>
        <w:rPr>
          <w:rFonts w:hint="eastAsia" w:ascii="仿宋_GB2312" w:eastAsia="仿宋_GB2312" w:cs="仿宋" w:hAnsiTheme="minorEastAsia"/>
          <w:i w:val="0"/>
          <w:caps w:val="0"/>
          <w:spacing w:val="0"/>
          <w:kern w:val="2"/>
          <w:sz w:val="30"/>
          <w:szCs w:val="30"/>
          <w:shd w:val="clear"/>
          <w:lang w:val="en-US" w:eastAsia="zh-CN" w:bidi="ar"/>
        </w:rPr>
      </w:pPr>
      <w:r>
        <w:rPr>
          <w:rFonts w:hint="eastAsia" w:ascii="仿宋_GB2312" w:eastAsia="仿宋_GB2312" w:cs="仿宋" w:hAnsiTheme="minorEastAsia"/>
          <w:i w:val="0"/>
          <w:caps w:val="0"/>
          <w:spacing w:val="0"/>
          <w:kern w:val="2"/>
          <w:sz w:val="30"/>
          <w:szCs w:val="30"/>
          <w:shd w:val="clear"/>
          <w:lang w:val="en-US" w:eastAsia="zh-CN" w:bidi="ar"/>
        </w:rPr>
        <w:t>10.展览会经营收入：主要包括展览会主、承办单位收取参展商的参展费和展览会门票销售、广告赞助等销售收入。</w:t>
      </w:r>
    </w:p>
    <w:p>
      <w:pPr>
        <w:keepNext w:val="0"/>
        <w:keepLines w:val="0"/>
        <w:widowControl/>
        <w:suppressLineNumbers w:val="0"/>
        <w:spacing w:line="520" w:lineRule="exact"/>
        <w:ind w:firstLine="600" w:firstLineChars="200"/>
        <w:jc w:val="left"/>
        <w:rPr>
          <w:rFonts w:hint="eastAsia" w:ascii="仿宋_GB2312" w:eastAsia="仿宋_GB2312" w:cs="仿宋" w:hAnsiTheme="minorEastAsia"/>
          <w:i w:val="0"/>
          <w:caps w:val="0"/>
          <w:spacing w:val="0"/>
          <w:kern w:val="2"/>
          <w:sz w:val="30"/>
          <w:szCs w:val="30"/>
          <w:shd w:val="clear"/>
          <w:lang w:val="en-US" w:eastAsia="zh-CN" w:bidi="ar"/>
        </w:rPr>
      </w:pPr>
      <w:r>
        <w:rPr>
          <w:rFonts w:hint="eastAsia" w:ascii="仿宋_GB2312" w:eastAsia="仿宋_GB2312" w:cs="仿宋" w:hAnsiTheme="minorEastAsia"/>
          <w:i w:val="0"/>
          <w:caps w:val="0"/>
          <w:spacing w:val="0"/>
          <w:kern w:val="2"/>
          <w:sz w:val="30"/>
          <w:szCs w:val="30"/>
          <w:shd w:val="clear"/>
          <w:lang w:val="en-US" w:eastAsia="zh-CN" w:bidi="ar"/>
        </w:rPr>
        <w:t>11.展览会经营成本：包括举办展览会所需的直接费用支出，包括展馆租金、搭建会务、招商招展、宣传、差旅等费用，不包含人员劳动报酬和日常办公费用。</w:t>
      </w:r>
    </w:p>
    <w:p>
      <w:pPr>
        <w:widowControl/>
        <w:spacing w:line="520" w:lineRule="exact"/>
        <w:ind w:firstLine="600" w:firstLineChars="200"/>
        <w:rPr>
          <w:rFonts w:hint="eastAsia" w:ascii="仿宋_GB2312" w:eastAsia="仿宋_GB2312" w:cs="仿宋" w:hAnsiTheme="minorEastAsia"/>
          <w:kern w:val="2"/>
          <w:sz w:val="30"/>
          <w:szCs w:val="30"/>
        </w:rPr>
      </w:pPr>
    </w:p>
    <w:p>
      <w:pPr>
        <w:adjustRightInd w:val="0"/>
        <w:snapToGrid w:val="0"/>
        <w:spacing w:line="540" w:lineRule="exact"/>
        <w:ind w:firstLine="640" w:firstLineChars="200"/>
        <w:rPr>
          <w:rFonts w:ascii="仿宋" w:hAnsi="仿宋" w:eastAsia="仿宋" w:cs="仿宋"/>
          <w:color w:val="000000" w:themeColor="text1"/>
          <w:sz w:val="32"/>
          <w:szCs w:val="32"/>
          <w14:textFill>
            <w14:solidFill>
              <w14:schemeClr w14:val="tx1"/>
            </w14:solidFill>
          </w14:textFill>
        </w:rPr>
      </w:pP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ESI小标宋-GB13000">
    <w:altName w:val="宋体"/>
    <w:panose1 w:val="02000500000000000000"/>
    <w:charset w:val="86"/>
    <w:family w:val="auto"/>
    <w:pitch w:val="default"/>
    <w:sig w:usb0="00000000" w:usb1="00000000"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OTQzZjYyNGIxOTI5MDAxODZmNzRiMDY5NDY3MmQifQ=="/>
  </w:docVars>
  <w:rsids>
    <w:rsidRoot w:val="00310E9F"/>
    <w:rsid w:val="00006DA3"/>
    <w:rsid w:val="00011241"/>
    <w:rsid w:val="000274E0"/>
    <w:rsid w:val="000572D6"/>
    <w:rsid w:val="00064A7D"/>
    <w:rsid w:val="000F3A7C"/>
    <w:rsid w:val="001338D9"/>
    <w:rsid w:val="00143F33"/>
    <w:rsid w:val="00145C5A"/>
    <w:rsid w:val="001773D3"/>
    <w:rsid w:val="00177C02"/>
    <w:rsid w:val="00210429"/>
    <w:rsid w:val="00212E5D"/>
    <w:rsid w:val="00214044"/>
    <w:rsid w:val="00217451"/>
    <w:rsid w:val="002233C1"/>
    <w:rsid w:val="00223F61"/>
    <w:rsid w:val="00242E43"/>
    <w:rsid w:val="00246B67"/>
    <w:rsid w:val="002537B3"/>
    <w:rsid w:val="00261159"/>
    <w:rsid w:val="00277FB5"/>
    <w:rsid w:val="00290CA0"/>
    <w:rsid w:val="002F7957"/>
    <w:rsid w:val="00300567"/>
    <w:rsid w:val="00310E9F"/>
    <w:rsid w:val="00340F4D"/>
    <w:rsid w:val="00342EC8"/>
    <w:rsid w:val="0034644C"/>
    <w:rsid w:val="003740BE"/>
    <w:rsid w:val="003824F6"/>
    <w:rsid w:val="00384C6E"/>
    <w:rsid w:val="003E426E"/>
    <w:rsid w:val="00403018"/>
    <w:rsid w:val="00416B41"/>
    <w:rsid w:val="00447233"/>
    <w:rsid w:val="00466EE3"/>
    <w:rsid w:val="004C78DE"/>
    <w:rsid w:val="004F3C29"/>
    <w:rsid w:val="005242E5"/>
    <w:rsid w:val="005372E2"/>
    <w:rsid w:val="00537C0D"/>
    <w:rsid w:val="005425F4"/>
    <w:rsid w:val="00556DFC"/>
    <w:rsid w:val="0060011B"/>
    <w:rsid w:val="0065351D"/>
    <w:rsid w:val="006611CF"/>
    <w:rsid w:val="006A18F6"/>
    <w:rsid w:val="0071075A"/>
    <w:rsid w:val="007139AE"/>
    <w:rsid w:val="00730330"/>
    <w:rsid w:val="00794E5F"/>
    <w:rsid w:val="007C6C03"/>
    <w:rsid w:val="00831546"/>
    <w:rsid w:val="00835737"/>
    <w:rsid w:val="00835F7F"/>
    <w:rsid w:val="0088103A"/>
    <w:rsid w:val="008D05C7"/>
    <w:rsid w:val="00926C07"/>
    <w:rsid w:val="009330A1"/>
    <w:rsid w:val="00966F47"/>
    <w:rsid w:val="009C2AC0"/>
    <w:rsid w:val="00A543D8"/>
    <w:rsid w:val="00B014CD"/>
    <w:rsid w:val="00B549CB"/>
    <w:rsid w:val="00BA3C89"/>
    <w:rsid w:val="00BB2637"/>
    <w:rsid w:val="00BE446D"/>
    <w:rsid w:val="00C30280"/>
    <w:rsid w:val="00C353E2"/>
    <w:rsid w:val="00C41C36"/>
    <w:rsid w:val="00C50398"/>
    <w:rsid w:val="00CA79B1"/>
    <w:rsid w:val="00CB3E73"/>
    <w:rsid w:val="00CC3475"/>
    <w:rsid w:val="00CD57F5"/>
    <w:rsid w:val="00CE1349"/>
    <w:rsid w:val="00D51E8A"/>
    <w:rsid w:val="00D636C5"/>
    <w:rsid w:val="00D87D55"/>
    <w:rsid w:val="00D928C2"/>
    <w:rsid w:val="00DB2960"/>
    <w:rsid w:val="00DD5907"/>
    <w:rsid w:val="00DD7D2D"/>
    <w:rsid w:val="00DE1393"/>
    <w:rsid w:val="00E755B7"/>
    <w:rsid w:val="00E846B7"/>
    <w:rsid w:val="00E87C53"/>
    <w:rsid w:val="00EF4689"/>
    <w:rsid w:val="00EF4FA3"/>
    <w:rsid w:val="00F5027C"/>
    <w:rsid w:val="00F67156"/>
    <w:rsid w:val="00F7199C"/>
    <w:rsid w:val="01422E6E"/>
    <w:rsid w:val="12E8108F"/>
    <w:rsid w:val="17796161"/>
    <w:rsid w:val="1C985811"/>
    <w:rsid w:val="1C9A089C"/>
    <w:rsid w:val="1CF56168"/>
    <w:rsid w:val="28713BD0"/>
    <w:rsid w:val="297113AC"/>
    <w:rsid w:val="2B2B0F81"/>
    <w:rsid w:val="2E6B05BE"/>
    <w:rsid w:val="31C00C15"/>
    <w:rsid w:val="34847444"/>
    <w:rsid w:val="3D71A415"/>
    <w:rsid w:val="402F1DB2"/>
    <w:rsid w:val="41F9C166"/>
    <w:rsid w:val="43FA1F69"/>
    <w:rsid w:val="44DC0C15"/>
    <w:rsid w:val="46F53798"/>
    <w:rsid w:val="524F1455"/>
    <w:rsid w:val="560479D8"/>
    <w:rsid w:val="59C7E753"/>
    <w:rsid w:val="59C87542"/>
    <w:rsid w:val="5DA7E339"/>
    <w:rsid w:val="5F6991D8"/>
    <w:rsid w:val="60F92A43"/>
    <w:rsid w:val="6109183B"/>
    <w:rsid w:val="620024E5"/>
    <w:rsid w:val="6DA2B17F"/>
    <w:rsid w:val="6DFF95EE"/>
    <w:rsid w:val="6F6B37BE"/>
    <w:rsid w:val="771903B8"/>
    <w:rsid w:val="779F8450"/>
    <w:rsid w:val="7B0465E8"/>
    <w:rsid w:val="7B5715A0"/>
    <w:rsid w:val="7B7721B2"/>
    <w:rsid w:val="7F5FAD03"/>
    <w:rsid w:val="7FDFF1FC"/>
    <w:rsid w:val="7FF7FE2D"/>
    <w:rsid w:val="8B9D367E"/>
    <w:rsid w:val="ABFF4130"/>
    <w:rsid w:val="B1DF0A91"/>
    <w:rsid w:val="BAFF685F"/>
    <w:rsid w:val="BBFC4E79"/>
    <w:rsid w:val="D77FA25C"/>
    <w:rsid w:val="DFFF2DEC"/>
    <w:rsid w:val="EFFB7159"/>
    <w:rsid w:val="EFFD3784"/>
    <w:rsid w:val="EFFD517A"/>
    <w:rsid w:val="F7DF0617"/>
    <w:rsid w:val="F9EDA0E5"/>
    <w:rsid w:val="FFD2F8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4"/>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semiHidden/>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character" w:customStyle="1" w:styleId="13">
    <w:name w:val="批注文字 Char"/>
    <w:basedOn w:val="10"/>
    <w:link w:val="2"/>
    <w:semiHidden/>
    <w:qFormat/>
    <w:uiPriority w:val="99"/>
    <w:rPr>
      <w:rFonts w:ascii="Calibri" w:hAnsi="Calibri" w:eastAsia="宋体" w:cs="Times New Roman"/>
      <w:kern w:val="2"/>
      <w:sz w:val="21"/>
      <w:szCs w:val="22"/>
    </w:rPr>
  </w:style>
  <w:style w:type="character" w:customStyle="1" w:styleId="14">
    <w:name w:val="批注主题 Char"/>
    <w:basedOn w:val="13"/>
    <w:link w:val="7"/>
    <w:semiHidden/>
    <w:qFormat/>
    <w:uiPriority w:val="99"/>
    <w:rPr>
      <w:rFonts w:ascii="Calibri" w:hAnsi="Calibri" w:eastAsia="宋体" w:cs="Times New Roman"/>
      <w:b/>
      <w:bCs/>
      <w:kern w:val="2"/>
      <w:sz w:val="21"/>
      <w:szCs w:val="22"/>
    </w:rPr>
  </w:style>
  <w:style w:type="character" w:customStyle="1" w:styleId="15">
    <w:name w:val="批注框文本 Char"/>
    <w:basedOn w:val="10"/>
    <w:link w:val="3"/>
    <w:semiHidden/>
    <w:qFormat/>
    <w:uiPriority w:val="99"/>
    <w:rPr>
      <w:rFonts w:ascii="Calibri" w:hAnsi="Calibri" w:eastAsia="宋体" w:cs="Times New Roman"/>
      <w:kern w:val="2"/>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3616</Words>
  <Characters>3756</Characters>
  <Lines>54</Lines>
  <Paragraphs>15</Paragraphs>
  <TotalTime>30</TotalTime>
  <ScaleCrop>false</ScaleCrop>
  <LinksUpToDate>false</LinksUpToDate>
  <CharactersWithSpaces>3795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2022-09-16T17:54:00Z</dcterms:created>
  <dc:creator>User</dc:creator>
  <cp:lastModifiedBy>喻斌</cp:lastModifiedBy>
  <cp:lastPrinted>2022-10-01T07:45:00Z</cp:lastPrinted>
  <dcterms:modified xsi:type="dcterms:W3CDTF">2022-10-14T13:24:51Z</dcterms:modified>
  <dc:title>广州市品牌展会认定办法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A0682433C0944CA38CA97798041B505F</vt:lpwstr>
  </property>
</Properties>
</file>