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品牌展会指标体系相关术语释义</w:t>
      </w:r>
    </w:p>
    <w:p>
      <w:pPr>
        <w:widowControl/>
        <w:spacing w:line="52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根据展览项目专业性特点和发展规律，建立相应的基础性指标和公共性指标，具体相关术语释义如下：</w:t>
      </w:r>
    </w:p>
    <w:p>
      <w:pPr>
        <w:widowControl/>
        <w:spacing w:line="520" w:lineRule="exact"/>
        <w:ind w:firstLine="300" w:firstLineChars="1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1.展览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[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]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：在一定地域空间和有限时间内举办的，以产品、技术、服务的展示、参观、洽谈、信息交流为主要目标、多人参与的群众性活动。</w:t>
      </w:r>
    </w:p>
    <w:p>
      <w:pPr>
        <w:widowControl/>
        <w:spacing w:line="520" w:lineRule="exact"/>
        <w:ind w:firstLine="300" w:firstLineChars="1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2.经济贸易展览会：以贸易、投资、经济合作等商务活动为主要功能的展览会。</w:t>
      </w:r>
    </w:p>
    <w:p>
      <w:pPr>
        <w:widowControl/>
        <w:spacing w:line="52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3.展览总面积：展览组织单位租赁展馆室内外并实际用于展览活动的所有场地面积，不含单独租赁的会议室、办公区、仓储区的面积。</w:t>
      </w:r>
    </w:p>
    <w:p>
      <w:pPr>
        <w:widowControl/>
        <w:spacing w:line="52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4.境外参展商：注册地在中华人民共和国境外</w:t>
      </w:r>
      <w:r>
        <w:rPr>
          <w:rFonts w:hint="eastAsia" w:ascii="仿宋_GB2312" w:hAnsi="宋体" w:eastAsia="仿宋_GB2312" w:cs="宋体"/>
          <w:sz w:val="30"/>
          <w:szCs w:val="30"/>
        </w:rPr>
        <w:t>（含港澳台）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的参展商。</w:t>
      </w:r>
    </w:p>
    <w:p>
      <w:pPr>
        <w:widowControl/>
        <w:spacing w:line="52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5.省外企业参展面积占比：注册地在中华人民共和国境内、广东省之外的参展企业展台面积占展览净面积的比例。</w:t>
      </w:r>
    </w:p>
    <w:p>
      <w:pPr>
        <w:widowControl/>
        <w:spacing w:line="52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6.展览净面积。参展商根据参展合同有偿使用的展台面积总和，赠送展台以及主办方的展台不在统计之列。</w:t>
      </w:r>
    </w:p>
    <w:p>
      <w:pPr>
        <w:widowControl/>
        <w:spacing w:line="52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7.专业观众人数：展览会期间，出于收集信息、采购洽谈、联络参展商等专业或商业目的参加展览会的观众数量，多次观展只能被计入一次。</w:t>
      </w:r>
    </w:p>
    <w:p>
      <w:pPr>
        <w:widowControl/>
        <w:spacing w:line="52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8.境外专业观众人数：</w:t>
      </w:r>
      <w:r>
        <w:rPr>
          <w:rFonts w:hint="eastAsia" w:ascii="仿宋_GB2312" w:hAnsi="宋体" w:eastAsia="仿宋_GB2312" w:cs="宋体"/>
          <w:sz w:val="30"/>
          <w:szCs w:val="30"/>
        </w:rPr>
        <w:t>登记且有效的通信地址或身份证明为境外（含港澳台）的专业观众数量，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多次观展只能被计入一次。</w:t>
      </w:r>
    </w:p>
    <w:p>
      <w:pPr>
        <w:spacing w:line="520" w:lineRule="exact"/>
        <w:ind w:firstLine="600" w:firstLineChars="2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9.</w:t>
      </w:r>
      <w:r>
        <w:rPr>
          <w:rFonts w:hint="eastAsia" w:ascii="仿宋_GB2312" w:hAnsi="宋体" w:eastAsia="仿宋_GB2312" w:cs="仿宋"/>
          <w:sz w:val="30"/>
          <w:szCs w:val="30"/>
        </w:rPr>
        <w:t>专业活动：是指围绕展会，为提升展会品牌、品质，引领行业发展趋势等策划、举办的各类论坛、会议、培训、赛事、新技术或新产品发布会、研讨会等。</w:t>
      </w:r>
    </w:p>
    <w:p>
      <w:pPr>
        <w:widowControl/>
        <w:spacing w:line="520" w:lineRule="exact"/>
        <w:ind w:firstLine="600" w:firstLineChars="200"/>
        <w:jc w:val="left"/>
        <w:rPr>
          <w:rFonts w:ascii="仿宋_GB2312" w:hAnsi="宋体" w:eastAsia="仿宋_GB2312" w:cs="仿宋"/>
          <w:sz w:val="30"/>
          <w:szCs w:val="30"/>
          <w:lang w:bidi="ar"/>
        </w:rPr>
      </w:pPr>
      <w:r>
        <w:rPr>
          <w:rFonts w:hint="eastAsia" w:ascii="仿宋_GB2312" w:hAnsi="宋体" w:eastAsia="仿宋_GB2312" w:cs="仿宋"/>
          <w:sz w:val="30"/>
          <w:szCs w:val="30"/>
        </w:rPr>
        <w:t>10.</w:t>
      </w:r>
      <w:r>
        <w:rPr>
          <w:rFonts w:hint="eastAsia" w:ascii="仿宋_GB2312" w:hAnsi="宋体" w:eastAsia="仿宋_GB2312" w:cs="仿宋"/>
          <w:sz w:val="30"/>
          <w:szCs w:val="30"/>
          <w:lang w:bidi="ar"/>
        </w:rPr>
        <w:t>毛利率（Gross Profit Margin）是毛利与展览会经营收入的百分比，其中，毛利是展览会经营收入与展览会经营成本之间的差额，用公式表示：毛利率=毛利/展览会经营收入×100%=（</w:t>
      </w:r>
      <w:r>
        <w:fldChar w:fldCharType="begin"/>
      </w:r>
      <w:r>
        <w:instrText xml:space="preserve"> HYPERLINK "https://baike.baidu.com/item/%E4%B8%BB%E8%90%A5%E4%B8%9A%E5%8A%A1%E6%94%B6%E5%85%A5/11055134?fromModule=lemma_inlink" \t "/home/uos/Documents\x/_blank" </w:instrText>
      </w:r>
      <w:r>
        <w:fldChar w:fldCharType="separate"/>
      </w:r>
      <w:r>
        <w:rPr>
          <w:rFonts w:hint="eastAsia" w:ascii="仿宋_GB2312" w:hAnsi="宋体" w:eastAsia="仿宋_GB2312" w:cs="仿宋"/>
          <w:sz w:val="30"/>
          <w:szCs w:val="30"/>
          <w:lang w:bidi="ar"/>
        </w:rPr>
        <w:t>展览会经营收入</w:t>
      </w:r>
      <w:r>
        <w:rPr>
          <w:rFonts w:hint="eastAsia" w:ascii="仿宋_GB2312" w:hAnsi="宋体" w:eastAsia="仿宋_GB2312" w:cs="仿宋"/>
          <w:sz w:val="30"/>
          <w:szCs w:val="30"/>
          <w:lang w:bidi="ar"/>
        </w:rPr>
        <w:fldChar w:fldCharType="end"/>
      </w:r>
      <w:r>
        <w:rPr>
          <w:rFonts w:hint="eastAsia" w:ascii="仿宋_GB2312" w:hAnsi="宋体" w:eastAsia="仿宋_GB2312" w:cs="仿宋"/>
          <w:sz w:val="30"/>
          <w:szCs w:val="30"/>
          <w:lang w:bidi="ar"/>
        </w:rPr>
        <w:t>-展览会经营成本）/主营业务收入×100%。</w:t>
      </w:r>
    </w:p>
    <w:p>
      <w:pPr>
        <w:widowControl/>
        <w:spacing w:line="520" w:lineRule="exact"/>
        <w:ind w:firstLine="600" w:firstLineChars="200"/>
        <w:jc w:val="left"/>
        <w:rPr>
          <w:rFonts w:ascii="仿宋_GB2312" w:hAnsi="宋体" w:eastAsia="仿宋_GB2312" w:cs="仿宋"/>
          <w:sz w:val="30"/>
          <w:szCs w:val="30"/>
          <w:lang w:bidi="ar"/>
        </w:rPr>
      </w:pPr>
      <w:r>
        <w:rPr>
          <w:rFonts w:hint="eastAsia" w:ascii="仿宋_GB2312" w:hAnsi="宋体" w:eastAsia="仿宋_GB2312" w:cs="仿宋"/>
          <w:sz w:val="30"/>
          <w:szCs w:val="30"/>
          <w:lang w:bidi="ar"/>
        </w:rPr>
        <w:t>11.展览会经营收入：主要包括展览会主、承办单位收取参展商的参展费和展览会门票销售、广告赞助等销售收入。</w:t>
      </w:r>
    </w:p>
    <w:p>
      <w:pPr>
        <w:widowControl/>
        <w:spacing w:line="520" w:lineRule="exact"/>
        <w:ind w:firstLine="600" w:firstLineChars="200"/>
        <w:jc w:val="left"/>
        <w:rPr>
          <w:rFonts w:ascii="仿宋_GB2312" w:hAnsi="宋体" w:eastAsia="仿宋_GB2312" w:cs="仿宋"/>
          <w:sz w:val="30"/>
          <w:szCs w:val="30"/>
          <w:lang w:bidi="ar"/>
        </w:rPr>
      </w:pPr>
      <w:r>
        <w:rPr>
          <w:rFonts w:hint="eastAsia" w:ascii="仿宋_GB2312" w:hAnsi="宋体" w:eastAsia="仿宋_GB2312" w:cs="仿宋"/>
          <w:sz w:val="30"/>
          <w:szCs w:val="30"/>
          <w:lang w:bidi="ar"/>
        </w:rPr>
        <w:t>12.展览会经营成本：包括举办展览会所需的直接费用支出，包括展馆租金、搭建会务、招商招展、宣传、差旅等费用，不包含人员劳动报酬和日常办公费用。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GMxMDg5M2M1NmMyODk4ZGI0NDlhNzQyMzQyMGIifQ=="/>
  </w:docVars>
  <w:rsids>
    <w:rsidRoot w:val="6A1A4BF5"/>
    <w:rsid w:val="6A1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2023-03-23T07:00:00Z</dcterms:created>
  <dc:creator>huang</dc:creator>
  <cp:lastModifiedBy>huang</cp:lastModifiedBy>
  <dcterms:modified xsi:type="dcterms:W3CDTF">2023-03-23T07:00:58Z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26961EC23D8945E0A0EE1EC17A782DF7</vt:lpwstr>
  </property>
</Properties>
</file>